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42C9" w14:textId="77A4BA2C" w:rsidR="00E13DB1" w:rsidRPr="00E14723" w:rsidRDefault="005D5876" w:rsidP="00FC11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PODNEBNE</w:t>
      </w:r>
      <w:r w:rsidR="00E14723" w:rsidRPr="00E14723">
        <w:rPr>
          <w:b/>
          <w:bCs/>
          <w:sz w:val="24"/>
          <w:szCs w:val="24"/>
        </w:rPr>
        <w:t xml:space="preserve"> SPREMEMB</w:t>
      </w:r>
      <w:r>
        <w:rPr>
          <w:b/>
          <w:bCs/>
          <w:sz w:val="24"/>
          <w:szCs w:val="24"/>
        </w:rPr>
        <w:t>E</w:t>
      </w:r>
    </w:p>
    <w:p w14:paraId="1C183A73" w14:textId="34DDF4B7" w:rsidR="00E14723" w:rsidRDefault="00E14723"/>
    <w:p w14:paraId="4201DAD0" w14:textId="77777777" w:rsidR="00890C43" w:rsidRDefault="00890C43"/>
    <w:p w14:paraId="331918EE" w14:textId="1E43E23E" w:rsidR="009506EE" w:rsidRDefault="005D677E">
      <w:r>
        <w:t>Sprememb</w:t>
      </w:r>
      <w:r w:rsidR="006D0523">
        <w:t>e</w:t>
      </w:r>
      <w:r>
        <w:t xml:space="preserve"> podnebja, ki nast</w:t>
      </w:r>
      <w:r w:rsidR="006D0523">
        <w:t>ajajo</w:t>
      </w:r>
      <w:r>
        <w:t xml:space="preserve"> zaradi neposrednega ali posrednega vpliva človekovih dejavnosti so danes že stalnica. Čeprav o podnebnih spremembah slišimo na vsakem koraku, pa jih nekako še vedno ne dojemamo kot ogrož</w:t>
      </w:r>
      <w:r w:rsidR="00F54D3D">
        <w:t>a</w:t>
      </w:r>
      <w:r>
        <w:t>jočo resnico in premalo ukrepamo, da bi se podnebni kazalci spremenili na bolje.</w:t>
      </w:r>
      <w:r w:rsidR="005D5876">
        <w:t xml:space="preserve"> 15. maja smo obeležili tudi dan podnebnih sprememb.</w:t>
      </w:r>
    </w:p>
    <w:p w14:paraId="1F57EF2E" w14:textId="77777777" w:rsidR="009D69B4" w:rsidRDefault="009D69B4"/>
    <w:p w14:paraId="3B99D4B5" w14:textId="4FC98C9A" w:rsidR="009506EE" w:rsidRDefault="009506EE">
      <w:r>
        <w:t>Spremembe, ki so več kot očitne se izražajo kot:</w:t>
      </w:r>
    </w:p>
    <w:p w14:paraId="0223DCE5" w14:textId="77777777" w:rsidR="00890C43" w:rsidRDefault="00890C43"/>
    <w:p w14:paraId="44F89347" w14:textId="632EA2F6" w:rsidR="009506EE" w:rsidRDefault="009506EE" w:rsidP="007336EB">
      <w:pPr>
        <w:pStyle w:val="Odstavekseznama"/>
        <w:numPr>
          <w:ilvl w:val="0"/>
          <w:numId w:val="4"/>
        </w:numPr>
      </w:pPr>
      <w:r w:rsidRPr="003C46A1">
        <w:rPr>
          <w:b/>
          <w:bCs/>
        </w:rPr>
        <w:t>dvig povprečne temperature,</w:t>
      </w:r>
      <w:r>
        <w:t xml:space="preserve"> ki se vsako desetletje od predindustrijske dobe naprej vztrajno zvišuje, tudi na predelih, pokritih z ledom in snegom (visokogorje, Arktika,…);</w:t>
      </w:r>
    </w:p>
    <w:p w14:paraId="4185AA31" w14:textId="1E3A092E" w:rsidR="009506EE" w:rsidRDefault="009506EE" w:rsidP="007336EB">
      <w:pPr>
        <w:pStyle w:val="Odstavekseznama"/>
        <w:numPr>
          <w:ilvl w:val="0"/>
          <w:numId w:val="4"/>
        </w:numPr>
      </w:pPr>
      <w:r w:rsidRPr="003C46A1">
        <w:rPr>
          <w:b/>
          <w:bCs/>
        </w:rPr>
        <w:t>rekordne vrednosti toplogrednih plinov</w:t>
      </w:r>
      <w:r>
        <w:t>, ki so se od predindust</w:t>
      </w:r>
      <w:r w:rsidR="007D5175">
        <w:t>r</w:t>
      </w:r>
      <w:r>
        <w:t>ijske dobe leta 1950 povišale za 147% pri CO</w:t>
      </w:r>
      <w:r w:rsidRPr="002260B2">
        <w:rPr>
          <w:vertAlign w:val="subscript"/>
        </w:rPr>
        <w:t>2</w:t>
      </w:r>
      <w:r>
        <w:t xml:space="preserve">, za 259% </w:t>
      </w:r>
      <w:r w:rsidR="00243A85">
        <w:t>pri</w:t>
      </w:r>
      <w:r>
        <w:t xml:space="preserve"> CH</w:t>
      </w:r>
      <w:r w:rsidRPr="002260B2">
        <w:rPr>
          <w:vertAlign w:val="subscript"/>
        </w:rPr>
        <w:t>4</w:t>
      </w:r>
      <w:r>
        <w:t xml:space="preserve"> in 123% za N</w:t>
      </w:r>
      <w:r w:rsidRPr="002260B2">
        <w:rPr>
          <w:vertAlign w:val="subscript"/>
        </w:rPr>
        <w:t>2</w:t>
      </w:r>
      <w:r>
        <w:t>O;</w:t>
      </w:r>
    </w:p>
    <w:p w14:paraId="739C50F8" w14:textId="7E3D221A" w:rsidR="009506EE" w:rsidRDefault="009E4D07" w:rsidP="007336EB">
      <w:pPr>
        <w:pStyle w:val="Odstavekseznama"/>
        <w:numPr>
          <w:ilvl w:val="0"/>
          <w:numId w:val="4"/>
        </w:numPr>
      </w:pPr>
      <w:r w:rsidRPr="003C46A1">
        <w:rPr>
          <w:b/>
          <w:bCs/>
        </w:rPr>
        <w:t>dvigovanje morske gladine</w:t>
      </w:r>
      <w:r>
        <w:t xml:space="preserve">, ki se je zaradi taljenja ledu na Antarktiki in </w:t>
      </w:r>
      <w:r w:rsidR="003C46A1">
        <w:t xml:space="preserve">predvsem </w:t>
      </w:r>
      <w:r>
        <w:t>Grenlandiji povečala in je leta 2019 dosegla najvišjo raven;</w:t>
      </w:r>
    </w:p>
    <w:p w14:paraId="28DA70F5" w14:textId="631717C5" w:rsidR="009E4D07" w:rsidRDefault="009E4D07" w:rsidP="007336EB">
      <w:pPr>
        <w:pStyle w:val="Odstavekseznama"/>
        <w:numPr>
          <w:ilvl w:val="0"/>
          <w:numId w:val="4"/>
        </w:numPr>
      </w:pPr>
      <w:r w:rsidRPr="003C46A1">
        <w:rPr>
          <w:b/>
          <w:bCs/>
        </w:rPr>
        <w:t>toplota oceanov,</w:t>
      </w:r>
      <w:r>
        <w:t xml:space="preserve"> ki </w:t>
      </w:r>
      <w:r w:rsidR="00243A85">
        <w:t xml:space="preserve">se </w:t>
      </w:r>
      <w:r>
        <w:t xml:space="preserve">zaradi vpijanja odvečne energije iz ozračja </w:t>
      </w:r>
      <w:r w:rsidR="003C46A1">
        <w:t>kot posledice povečanih vrednosti TGP</w:t>
      </w:r>
      <w:r w:rsidR="00243A85">
        <w:t xml:space="preserve"> vztrajno viša</w:t>
      </w:r>
      <w:r w:rsidR="003C46A1">
        <w:t xml:space="preserve">, od tega se je </w:t>
      </w:r>
      <w:r w:rsidR="003C46A1" w:rsidRPr="003C46A1">
        <w:rPr>
          <w:b/>
          <w:bCs/>
        </w:rPr>
        <w:t>zakisanost</w:t>
      </w:r>
      <w:r w:rsidR="003C46A1">
        <w:t xml:space="preserve"> </w:t>
      </w:r>
      <w:r w:rsidR="003C46A1" w:rsidRPr="003C46A1">
        <w:rPr>
          <w:b/>
          <w:bCs/>
        </w:rPr>
        <w:t>oceanov</w:t>
      </w:r>
      <w:r w:rsidR="003C46A1">
        <w:t xml:space="preserve"> od predindustrijske dobe povečala za 26%;</w:t>
      </w:r>
    </w:p>
    <w:p w14:paraId="30537197" w14:textId="17B52115" w:rsidR="003C46A1" w:rsidRPr="007C2CA2" w:rsidRDefault="007C2CA2" w:rsidP="007336EB">
      <w:pPr>
        <w:pStyle w:val="Odstavekseznama"/>
        <w:numPr>
          <w:ilvl w:val="0"/>
          <w:numId w:val="4"/>
        </w:numPr>
        <w:rPr>
          <w:rStyle w:val="fontstyle01"/>
          <w:rFonts w:asciiTheme="minorHAnsi" w:hAnsiTheme="minorHAnsi" w:cstheme="minorBidi"/>
          <w:color w:val="auto"/>
          <w:sz w:val="22"/>
          <w:szCs w:val="22"/>
        </w:rPr>
      </w:pPr>
      <w:r>
        <w:t xml:space="preserve">nadpovprečne količine padavin povzročajo </w:t>
      </w:r>
      <w:r w:rsidRPr="007C2CA2">
        <w:rPr>
          <w:b/>
          <w:bCs/>
        </w:rPr>
        <w:t>poplave</w:t>
      </w:r>
      <w:r>
        <w:t xml:space="preserve">, po drugi strani pa sledijo dolga </w:t>
      </w:r>
      <w:r w:rsidRPr="007C2CA2">
        <w:rPr>
          <w:b/>
          <w:bCs/>
        </w:rPr>
        <w:t>sušna obdobja</w:t>
      </w:r>
      <w:r>
        <w:t xml:space="preserve"> z vedno več </w:t>
      </w:r>
      <w:r w:rsidRPr="007C2CA2">
        <w:rPr>
          <w:b/>
          <w:bCs/>
        </w:rPr>
        <w:t>vročinskimi valovi</w:t>
      </w:r>
      <w:r>
        <w:t xml:space="preserve"> in rekordno, kar 42,6 </w:t>
      </w:r>
      <w:bookmarkStart w:id="0" w:name="_Hlk71194375"/>
      <w:r>
        <w:rPr>
          <w:rStyle w:val="fontstyle01"/>
        </w:rPr>
        <w:t xml:space="preserve">°C </w:t>
      </w:r>
      <w:bookmarkEnd w:id="0"/>
      <w:r>
        <w:rPr>
          <w:rStyle w:val="fontstyle01"/>
        </w:rPr>
        <w:t>visoko temperaturo v Nemčiji in 46,6°C januarja v Avstraliji;</w:t>
      </w:r>
    </w:p>
    <w:p w14:paraId="1AC2F401" w14:textId="6ECEEF35" w:rsidR="007C2CA2" w:rsidRDefault="007C2CA2" w:rsidP="007336EB">
      <w:pPr>
        <w:pStyle w:val="Odstavekseznama"/>
        <w:numPr>
          <w:ilvl w:val="0"/>
          <w:numId w:val="4"/>
        </w:numPr>
      </w:pPr>
      <w:r>
        <w:rPr>
          <w:rStyle w:val="fontstyle01"/>
        </w:rPr>
        <w:t xml:space="preserve">temperaturnim ekstremom sledijo </w:t>
      </w:r>
      <w:r w:rsidRPr="007C2CA2">
        <w:rPr>
          <w:rStyle w:val="fontstyle01"/>
          <w:b/>
          <w:bCs/>
        </w:rPr>
        <w:t>požari</w:t>
      </w:r>
      <w:r>
        <w:rPr>
          <w:rStyle w:val="fontstyle01"/>
        </w:rPr>
        <w:t xml:space="preserve"> (tudi v Sibiriji in na Aljaski), še posebej zaskrbljujoči so v </w:t>
      </w:r>
      <w:proofErr w:type="spellStart"/>
      <w:r>
        <w:rPr>
          <w:rStyle w:val="fontstyle01"/>
        </w:rPr>
        <w:t>Amazoniji</w:t>
      </w:r>
      <w:proofErr w:type="spellEnd"/>
      <w:r>
        <w:rPr>
          <w:rStyle w:val="fontstyle01"/>
        </w:rPr>
        <w:t xml:space="preserve">, nadpovprečna je tudi aktivnost </w:t>
      </w:r>
      <w:r w:rsidR="00AD7785" w:rsidRPr="00AD7785">
        <w:rPr>
          <w:rStyle w:val="fontstyle01"/>
          <w:b/>
          <w:bCs/>
        </w:rPr>
        <w:t>tropskih</w:t>
      </w:r>
      <w:r w:rsidR="00AD7785">
        <w:rPr>
          <w:rStyle w:val="fontstyle01"/>
        </w:rPr>
        <w:t xml:space="preserve"> </w:t>
      </w:r>
      <w:r w:rsidRPr="00AD7785">
        <w:rPr>
          <w:rStyle w:val="fontstyle01"/>
          <w:b/>
          <w:bCs/>
        </w:rPr>
        <w:t>ciklonov</w:t>
      </w:r>
      <w:r>
        <w:rPr>
          <w:rStyle w:val="fontstyle01"/>
        </w:rPr>
        <w:t xml:space="preserve"> po svetu, ki za seboj puščajo uničenje bivališč, obdelovalnih površin in pridelkov ter številne človeške žrtve.</w:t>
      </w:r>
    </w:p>
    <w:p w14:paraId="33D52FE0" w14:textId="77777777" w:rsidR="009D69B4" w:rsidRDefault="009D69B4"/>
    <w:p w14:paraId="6FFBEC9F" w14:textId="5AAAB600" w:rsidR="009506EE" w:rsidRDefault="00AD7785">
      <w:r>
        <w:t>Podnebne spremembe tako vplivajo</w:t>
      </w:r>
      <w:r w:rsidR="00243A85">
        <w:t xml:space="preserve"> na</w:t>
      </w:r>
      <w:r>
        <w:t xml:space="preserve"> preskrbo prebivalstva s hrano, na povečano tveganje za zdravje ljudi, smrtno ogroža</w:t>
      </w:r>
      <w:r w:rsidR="00243A85">
        <w:t>jo</w:t>
      </w:r>
      <w:r>
        <w:t xml:space="preserve"> mnoga življenja in občutno prispeva</w:t>
      </w:r>
      <w:r w:rsidR="00243A85">
        <w:t>jo</w:t>
      </w:r>
      <w:r>
        <w:t xml:space="preserve"> k razseljevanju ljudi iz najbolj ogroženih območij.</w:t>
      </w:r>
    </w:p>
    <w:p w14:paraId="4F5631CC" w14:textId="77777777" w:rsidR="00890C43" w:rsidRDefault="00890C43"/>
    <w:p w14:paraId="4397054C" w14:textId="5C342F3C" w:rsidR="00C153AB" w:rsidRDefault="00C153AB"/>
    <w:p w14:paraId="5904EA2F" w14:textId="5F727E87" w:rsidR="00890C43" w:rsidRDefault="00890C43" w:rsidP="00890C43">
      <w:pPr>
        <w:jc w:val="center"/>
      </w:pPr>
      <w:r>
        <w:rPr>
          <w:noProof/>
          <w:lang w:eastAsia="sl-SI"/>
        </w:rPr>
        <w:drawing>
          <wp:inline distT="0" distB="0" distL="0" distR="0" wp14:anchorId="466CF51B" wp14:editId="6A6FF464">
            <wp:extent cx="5113325" cy="2604211"/>
            <wp:effectExtent l="0" t="0" r="11430" b="571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77D60C05-E229-4988-A0FF-B6EA20928B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4E1A284" w14:textId="750F7ED1" w:rsidR="00890C43" w:rsidRDefault="00890C43"/>
    <w:p w14:paraId="0DDA6690" w14:textId="110E715F" w:rsidR="00890C43" w:rsidRDefault="00890C43" w:rsidP="00890C43">
      <w:pPr>
        <w:jc w:val="center"/>
      </w:pPr>
      <w:r>
        <w:t>Slika 1: Letno povprečje temperature zraka od 1970 – 2020; vir: ARSO</w:t>
      </w:r>
    </w:p>
    <w:p w14:paraId="4424E13D" w14:textId="77777777" w:rsidR="00890C43" w:rsidRDefault="00890C43"/>
    <w:p w14:paraId="6C5FEEE3" w14:textId="77777777" w:rsidR="009506EE" w:rsidRDefault="009506EE"/>
    <w:p w14:paraId="1EFFE403" w14:textId="0F19B70B" w:rsidR="00E14723" w:rsidRDefault="004F7AE0">
      <w:r>
        <w:t>Za izboljšanje stanja je potrebno po eni strani blaženje podnebnih sprememb in po drugi prilagajanje nanje,</w:t>
      </w:r>
      <w:r w:rsidR="00812D1E">
        <w:t xml:space="preserve"> kar zahteva sistematično</w:t>
      </w:r>
      <w:r w:rsidR="005D6E29">
        <w:t>,</w:t>
      </w:r>
      <w:r w:rsidR="00812D1E">
        <w:t xml:space="preserve"> načrtno zmanjševanje ranljivosti in povečanje odpornosti proti zaznanim in pričakovanim vplivom podnebnih sprememb.</w:t>
      </w:r>
      <w:r w:rsidR="00CA6BCA">
        <w:t xml:space="preserve"> </w:t>
      </w:r>
    </w:p>
    <w:p w14:paraId="50319EA9" w14:textId="77777777" w:rsidR="00CA6BCA" w:rsidRDefault="00CA6BCA"/>
    <w:p w14:paraId="3B003191" w14:textId="551A8445" w:rsidR="00CA6BCA" w:rsidRPr="00CA6BCA" w:rsidRDefault="00CA6BCA">
      <w:r>
        <w:t xml:space="preserve">Slovenija </w:t>
      </w:r>
      <w:r w:rsidR="00211FD6">
        <w:t xml:space="preserve">je podpisnica Pariškega sporazuma, ki je pravno zavezujoč za vse članice, zato </w:t>
      </w:r>
      <w:r>
        <w:t>si je v strateških dokumentih (Strategija razvoja Slovenije 2030, Nacionalno energetsko podnebni koncept, Resolucija o Nacionalnem programu razvoja prometa RS, Resolucija o Nacionalnem programu varstva okolja 2020-2030 in drugi</w:t>
      </w:r>
      <w:r w:rsidR="005D6E29">
        <w:t>h</w:t>
      </w:r>
      <w:r>
        <w:t>) zastavila cilj, ki ga zasleduje tudi pri pripravi Dolgoročne podnebne strategije Slovenije do leta 2050</w:t>
      </w:r>
      <w:r w:rsidR="00D15BE7">
        <w:t xml:space="preserve"> (DPSS)</w:t>
      </w:r>
      <w:r>
        <w:t xml:space="preserve">, to je </w:t>
      </w:r>
      <w:r>
        <w:rPr>
          <w:b/>
          <w:bCs/>
        </w:rPr>
        <w:t>doseganje neto ničelne emisije oziroma podnebno nevtralnost</w:t>
      </w:r>
      <w:r>
        <w:t>.</w:t>
      </w:r>
      <w:r w:rsidR="005D6E29">
        <w:t xml:space="preserve"> Strategija je v fazi sprejemanja, tej pa bodo sledile tudi občinske strategije prilagajanja.</w:t>
      </w:r>
    </w:p>
    <w:p w14:paraId="05000022" w14:textId="77777777" w:rsidR="009D69B4" w:rsidRDefault="009D69B4"/>
    <w:p w14:paraId="2BE06D6A" w14:textId="149A7826" w:rsidR="00CA6BCA" w:rsidRDefault="00DA223F">
      <w:r>
        <w:t xml:space="preserve">Najpomembnejše aktivnosti </w:t>
      </w:r>
      <w:r w:rsidR="00D15BE7">
        <w:t xml:space="preserve">v DPSS </w:t>
      </w:r>
      <w:r>
        <w:t>za doseganje tega cilja so:</w:t>
      </w:r>
    </w:p>
    <w:p w14:paraId="4A8EEF8C" w14:textId="1664E260" w:rsidR="00DA223F" w:rsidRDefault="00DA223F" w:rsidP="00DA223F">
      <w:pPr>
        <w:pStyle w:val="Odstavekseznama"/>
        <w:numPr>
          <w:ilvl w:val="0"/>
          <w:numId w:val="2"/>
        </w:numPr>
      </w:pPr>
      <w:r>
        <w:t>zmanjšanje emisij toplogrednih plinov in povečanje odvzema po ponorih</w:t>
      </w:r>
      <w:r w:rsidR="007E0FE2">
        <w:t xml:space="preserve"> (</w:t>
      </w:r>
      <w:r w:rsidR="00400B02">
        <w:t>36</w:t>
      </w:r>
      <w:r w:rsidR="007E0FE2">
        <w:t>% do leta 2030</w:t>
      </w:r>
      <w:r w:rsidR="00400B02">
        <w:t xml:space="preserve"> glede na leto 2005</w:t>
      </w:r>
      <w:r w:rsidR="007E0FE2">
        <w:t>)</w:t>
      </w:r>
      <w:r>
        <w:t>,</w:t>
      </w:r>
    </w:p>
    <w:p w14:paraId="6DF82DC3" w14:textId="6A942711" w:rsidR="00DA223F" w:rsidRDefault="00DA223F" w:rsidP="00DA223F">
      <w:pPr>
        <w:pStyle w:val="Odstavekseznama"/>
        <w:numPr>
          <w:ilvl w:val="0"/>
          <w:numId w:val="2"/>
        </w:numPr>
      </w:pPr>
      <w:r>
        <w:t xml:space="preserve">energetska učinkovitost </w:t>
      </w:r>
      <w:r w:rsidR="007E0FE2">
        <w:t xml:space="preserve">( izboljšanje vsaj za 35% do leta 2030) </w:t>
      </w:r>
      <w:r>
        <w:t>in</w:t>
      </w:r>
    </w:p>
    <w:p w14:paraId="38FCE656" w14:textId="7B12C80D" w:rsidR="00DA223F" w:rsidRDefault="00DA223F" w:rsidP="00DA223F">
      <w:pPr>
        <w:pStyle w:val="Odstavekseznama"/>
        <w:numPr>
          <w:ilvl w:val="0"/>
          <w:numId w:val="2"/>
        </w:numPr>
      </w:pPr>
      <w:r>
        <w:t>energija iz obnovljivih virov</w:t>
      </w:r>
      <w:r w:rsidR="007E0FE2">
        <w:t xml:space="preserve"> (vsaj 27% delež do leta 2030)</w:t>
      </w:r>
      <w:r>
        <w:t>.</w:t>
      </w:r>
    </w:p>
    <w:p w14:paraId="2329CF46" w14:textId="5D1BA91A" w:rsidR="00DA223F" w:rsidRDefault="00DA223F" w:rsidP="00DA223F">
      <w:pPr>
        <w:pStyle w:val="Odstavekseznama"/>
        <w:ind w:left="0"/>
      </w:pPr>
      <w:r>
        <w:t>Aktivnosti se zasledujejo po vseh sektorjih od energetike, industrije, prometa, stavb, kmetijstva, rabe zemljišč, odpadkov in drugih sektorjev.</w:t>
      </w:r>
      <w:r w:rsidR="0088356D">
        <w:t xml:space="preserve"> </w:t>
      </w:r>
    </w:p>
    <w:p w14:paraId="09333E5D" w14:textId="0DEC2930" w:rsidR="008510D8" w:rsidRDefault="008510D8" w:rsidP="00DA223F">
      <w:pPr>
        <w:pStyle w:val="Odstavekseznama"/>
        <w:ind w:left="0"/>
      </w:pPr>
    </w:p>
    <w:p w14:paraId="37F4E124" w14:textId="0C33C153" w:rsidR="008510D8" w:rsidRDefault="008510D8" w:rsidP="00DA223F">
      <w:pPr>
        <w:pStyle w:val="Odstavekseznama"/>
        <w:ind w:left="0"/>
      </w:pPr>
      <w:r>
        <w:t>Ukrepi prilagajanja na podnebne spremembe so nujni, saj bi jih pravzaprav morali izvajati že takoj</w:t>
      </w:r>
      <w:r w:rsidR="009B3F51">
        <w:t>,</w:t>
      </w:r>
      <w:r w:rsidR="00941369">
        <w:t xml:space="preserve"> </w:t>
      </w:r>
      <w:r w:rsidR="009B3F51">
        <w:t>ZDAJ!</w:t>
      </w:r>
      <w:r>
        <w:t xml:space="preserve"> Vedeti moramo, da tudi če bi že danes dosegali ničelne emisije, bi okolje potrebovalo še kar nekaj desetletij, da si opomore in ponovno vzpostavi ravnovesje. </w:t>
      </w:r>
    </w:p>
    <w:p w14:paraId="2EAE0E2E" w14:textId="5E20C2BA" w:rsidR="00CA6BCA" w:rsidRDefault="00CA6BCA"/>
    <w:p w14:paraId="29DB4CBD" w14:textId="27D57CEE" w:rsidR="008510D8" w:rsidRDefault="000E0839">
      <w:pPr>
        <w:rPr>
          <w:b/>
          <w:bCs/>
        </w:rPr>
      </w:pPr>
      <w:r w:rsidRPr="000E0839">
        <w:rPr>
          <w:b/>
          <w:bCs/>
        </w:rPr>
        <w:t>Stanje toplogrednih plinov v Sloveniji</w:t>
      </w:r>
    </w:p>
    <w:p w14:paraId="442689C8" w14:textId="77777777" w:rsidR="00DD2580" w:rsidRDefault="00DD2580">
      <w:pPr>
        <w:rPr>
          <w:b/>
          <w:bCs/>
        </w:rPr>
      </w:pPr>
    </w:p>
    <w:p w14:paraId="7849786C" w14:textId="1C6C7890" w:rsidR="009B6FD6" w:rsidRPr="00DD2580" w:rsidRDefault="009B6FD6">
      <w:pPr>
        <w:rPr>
          <w:rFonts w:cstheme="minorHAnsi"/>
          <w:shd w:val="clear" w:color="auto" w:fill="FFFFFF"/>
        </w:rPr>
      </w:pPr>
      <w:r w:rsidRPr="00DD2580">
        <w:rPr>
          <w:rFonts w:cstheme="minorHAnsi"/>
          <w:shd w:val="clear" w:color="auto" w:fill="FFFFFF"/>
        </w:rPr>
        <w:t xml:space="preserve">Skupni izpusti toplogrednih plinov v Sloveniji so leta 2019 dosegli 17.065 </w:t>
      </w:r>
      <w:proofErr w:type="spellStart"/>
      <w:r w:rsidRPr="00DD2580">
        <w:rPr>
          <w:rFonts w:cstheme="minorHAnsi"/>
          <w:shd w:val="clear" w:color="auto" w:fill="FFFFFF"/>
        </w:rPr>
        <w:t>Gg</w:t>
      </w:r>
      <w:proofErr w:type="spellEnd"/>
      <w:r w:rsidRPr="00DD2580">
        <w:rPr>
          <w:rFonts w:cstheme="minorHAnsi"/>
          <w:shd w:val="clear" w:color="auto" w:fill="FFFFFF"/>
        </w:rPr>
        <w:t xml:space="preserve"> (</w:t>
      </w:r>
      <w:proofErr w:type="spellStart"/>
      <w:r w:rsidRPr="00DD2580">
        <w:rPr>
          <w:rFonts w:cstheme="minorHAnsi"/>
          <w:shd w:val="clear" w:color="auto" w:fill="FFFFFF"/>
        </w:rPr>
        <w:t>gigagram</w:t>
      </w:r>
      <w:proofErr w:type="spellEnd"/>
      <w:r w:rsidR="00941369">
        <w:rPr>
          <w:rFonts w:cstheme="minorHAnsi"/>
          <w:shd w:val="clear" w:color="auto" w:fill="FFFFFF"/>
        </w:rPr>
        <w:t xml:space="preserve"> </w:t>
      </w:r>
      <w:r w:rsidRPr="00DD2580">
        <w:rPr>
          <w:rFonts w:cstheme="minorHAnsi"/>
          <w:shd w:val="clear" w:color="auto" w:fill="FFFFFF"/>
        </w:rPr>
        <w:t>=</w:t>
      </w:r>
      <w:r w:rsidR="00941369">
        <w:rPr>
          <w:rFonts w:cstheme="minorHAnsi"/>
          <w:shd w:val="clear" w:color="auto" w:fill="FFFFFF"/>
        </w:rPr>
        <w:t xml:space="preserve"> </w:t>
      </w:r>
      <w:r w:rsidRPr="00DD2580">
        <w:rPr>
          <w:rFonts w:cstheme="minorHAnsi"/>
          <w:shd w:val="clear" w:color="auto" w:fill="FFFFFF"/>
        </w:rPr>
        <w:t>1000 ton ali kiloton) ekvivalenta CO</w:t>
      </w:r>
      <w:r w:rsidRPr="00DD2580">
        <w:rPr>
          <w:rFonts w:cstheme="minorHAnsi"/>
          <w:shd w:val="clear" w:color="auto" w:fill="FFFFFF"/>
          <w:vertAlign w:val="subscript"/>
        </w:rPr>
        <w:t>2</w:t>
      </w:r>
      <w:r w:rsidRPr="00DD2580">
        <w:rPr>
          <w:rFonts w:cstheme="minorHAnsi"/>
          <w:shd w:val="clear" w:color="auto" w:fill="FFFFFF"/>
        </w:rPr>
        <w:t>. To je 16,4 % pod vrednostjo v izhodiščnem letu 1986 in 2,6 % manj kot v letu 2018. K znižanjem izpustov je največ prispevala manjša poraba goriv v vseh sektorjih, najizrazitejše zmanjšanje je bilo v energetiki (-4,7 %) in prometu (-3,6 %). Nekoliko višji izpusti, kot v letu 2018 pa so bili zabeleženi v industriji zaradi procesnih emisij.</w:t>
      </w:r>
    </w:p>
    <w:p w14:paraId="4E8D6814" w14:textId="0129B5D9" w:rsidR="009B6FD6" w:rsidRPr="00DD2580" w:rsidRDefault="009B6FD6">
      <w:pPr>
        <w:rPr>
          <w:rFonts w:cstheme="minorHAnsi"/>
          <w:shd w:val="clear" w:color="auto" w:fill="FFFFFF"/>
        </w:rPr>
      </w:pPr>
      <w:r w:rsidRPr="00DD2580">
        <w:rPr>
          <w:rFonts w:cstheme="minorHAnsi"/>
          <w:shd w:val="clear" w:color="auto" w:fill="FFFFFF"/>
        </w:rPr>
        <w:t>V skupnem deležu izpustov TGP ima v Sloveniji</w:t>
      </w:r>
      <w:r w:rsidRPr="00DD2580">
        <w:rPr>
          <w:rFonts w:cstheme="minorHAnsi"/>
          <w:b/>
          <w:bCs/>
          <w:shd w:val="clear" w:color="auto" w:fill="FFFFFF"/>
        </w:rPr>
        <w:t xml:space="preserve"> največji prispevek CO</w:t>
      </w:r>
      <w:r w:rsidRPr="00DD2580">
        <w:rPr>
          <w:rFonts w:cstheme="minorHAnsi"/>
          <w:b/>
          <w:bCs/>
          <w:shd w:val="clear" w:color="auto" w:fill="FFFFFF"/>
          <w:vertAlign w:val="subscript"/>
        </w:rPr>
        <w:t>2</w:t>
      </w:r>
      <w:r w:rsidRPr="00DD2580">
        <w:rPr>
          <w:rFonts w:cstheme="minorHAnsi"/>
          <w:shd w:val="clear" w:color="auto" w:fill="FFFFFF"/>
        </w:rPr>
        <w:t> (v letu 2019 kar 82,1 %). CO</w:t>
      </w:r>
      <w:r w:rsidRPr="00DD2580">
        <w:rPr>
          <w:rFonts w:cstheme="minorHAnsi"/>
          <w:shd w:val="clear" w:color="auto" w:fill="FFFFFF"/>
          <w:vertAlign w:val="subscript"/>
        </w:rPr>
        <w:t>2</w:t>
      </w:r>
      <w:r w:rsidRPr="00DD2580">
        <w:rPr>
          <w:rFonts w:cstheme="minorHAnsi"/>
          <w:shd w:val="clear" w:color="auto" w:fill="FFFFFF"/>
        </w:rPr>
        <w:t xml:space="preserve"> nastaja predvsem pri zgorevanju goriva in iz industrijskih procesov. Sledi metan (11,3 %), ki večinoma izvira iz odpadkov in kmetijstva, ter </w:t>
      </w:r>
      <w:proofErr w:type="spellStart"/>
      <w:r w:rsidRPr="00DD2580">
        <w:rPr>
          <w:rFonts w:cstheme="minorHAnsi"/>
          <w:shd w:val="clear" w:color="auto" w:fill="FFFFFF"/>
        </w:rPr>
        <w:t>didušikov</w:t>
      </w:r>
      <w:proofErr w:type="spellEnd"/>
      <w:r w:rsidRPr="00DD2580">
        <w:rPr>
          <w:rFonts w:cstheme="minorHAnsi"/>
          <w:shd w:val="clear" w:color="auto" w:fill="FFFFFF"/>
        </w:rPr>
        <w:t xml:space="preserve"> oksid (4,8 %), ki prav tako nastaja večinoma v kmetijstvu. Opazni so tudi izpusti </w:t>
      </w:r>
      <w:proofErr w:type="spellStart"/>
      <w:r w:rsidRPr="00DD2580">
        <w:rPr>
          <w:rFonts w:cstheme="minorHAnsi"/>
          <w:shd w:val="clear" w:color="auto" w:fill="FFFFFF"/>
        </w:rPr>
        <w:t>didušikovega</w:t>
      </w:r>
      <w:proofErr w:type="spellEnd"/>
      <w:r w:rsidRPr="00DD2580">
        <w:rPr>
          <w:rFonts w:cstheme="minorHAnsi"/>
          <w:shd w:val="clear" w:color="auto" w:fill="FFFFFF"/>
        </w:rPr>
        <w:t xml:space="preserve"> oksida iz cestnega prometa</w:t>
      </w:r>
      <w:r w:rsidR="00DD2580">
        <w:rPr>
          <w:rFonts w:cstheme="minorHAnsi"/>
          <w:shd w:val="clear" w:color="auto" w:fill="FFFFFF"/>
        </w:rPr>
        <w:t>.</w:t>
      </w:r>
      <w:r w:rsidRPr="00DD2580">
        <w:rPr>
          <w:rFonts w:cstheme="minorHAnsi"/>
          <w:shd w:val="clear" w:color="auto" w:fill="FFFFFF"/>
        </w:rPr>
        <w:t xml:space="preserve"> Izpusti F-plinov, med katere sodijo </w:t>
      </w:r>
      <w:proofErr w:type="spellStart"/>
      <w:r w:rsidRPr="00DD2580">
        <w:rPr>
          <w:rFonts w:cstheme="minorHAnsi"/>
          <w:shd w:val="clear" w:color="auto" w:fill="FFFFFF"/>
        </w:rPr>
        <w:t>fluorirani</w:t>
      </w:r>
      <w:proofErr w:type="spellEnd"/>
      <w:r w:rsidRPr="00DD2580">
        <w:rPr>
          <w:rFonts w:cstheme="minorHAnsi"/>
          <w:shd w:val="clear" w:color="auto" w:fill="FFFFFF"/>
        </w:rPr>
        <w:t xml:space="preserve"> ogljikovodiki (HFC), </w:t>
      </w:r>
      <w:proofErr w:type="spellStart"/>
      <w:r w:rsidRPr="00DD2580">
        <w:rPr>
          <w:rFonts w:cstheme="minorHAnsi"/>
          <w:shd w:val="clear" w:color="auto" w:fill="FFFFFF"/>
        </w:rPr>
        <w:t>perfluorirani</w:t>
      </w:r>
      <w:proofErr w:type="spellEnd"/>
      <w:r w:rsidRPr="00DD2580">
        <w:rPr>
          <w:rFonts w:cstheme="minorHAnsi"/>
          <w:shd w:val="clear" w:color="auto" w:fill="FFFFFF"/>
        </w:rPr>
        <w:t xml:space="preserve"> ogljikovodiki (PFC) in žveplov </w:t>
      </w:r>
      <w:proofErr w:type="spellStart"/>
      <w:r w:rsidRPr="00DD2580">
        <w:rPr>
          <w:rFonts w:cstheme="minorHAnsi"/>
          <w:shd w:val="clear" w:color="auto" w:fill="FFFFFF"/>
        </w:rPr>
        <w:t>heksafluorid</w:t>
      </w:r>
      <w:proofErr w:type="spellEnd"/>
      <w:r w:rsidRPr="00DD2580">
        <w:rPr>
          <w:rFonts w:cstheme="minorHAnsi"/>
          <w:shd w:val="clear" w:color="auto" w:fill="FFFFFF"/>
        </w:rPr>
        <w:t xml:space="preserve"> (SF</w:t>
      </w:r>
      <w:r w:rsidRPr="00DD2580">
        <w:rPr>
          <w:rFonts w:cstheme="minorHAnsi"/>
          <w:shd w:val="clear" w:color="auto" w:fill="FFFFFF"/>
          <w:vertAlign w:val="subscript"/>
        </w:rPr>
        <w:t>6</w:t>
      </w:r>
      <w:r w:rsidRPr="00DD2580">
        <w:rPr>
          <w:rFonts w:cstheme="minorHAnsi"/>
          <w:shd w:val="clear" w:color="auto" w:fill="FFFFFF"/>
        </w:rPr>
        <w:t>), so zelo majhni, vendar zaradi visokega toplogrednega učinka njihov prispevek k segrevanju ozračja ni zanemarljiv (1,9 %).</w:t>
      </w:r>
    </w:p>
    <w:p w14:paraId="4EA5E986" w14:textId="77777777" w:rsidR="009B6FD6" w:rsidRPr="00DD2580" w:rsidRDefault="009B6FD6">
      <w:pPr>
        <w:rPr>
          <w:rFonts w:cstheme="minorHAnsi"/>
          <w:shd w:val="clear" w:color="auto" w:fill="FFFFFF"/>
        </w:rPr>
      </w:pPr>
    </w:p>
    <w:p w14:paraId="715E10CC" w14:textId="086096F2" w:rsidR="009B6FD6" w:rsidRDefault="009B6FD6">
      <w:pPr>
        <w:rPr>
          <w:rFonts w:cstheme="minorHAnsi"/>
          <w:shd w:val="clear" w:color="auto" w:fill="FFFFFF"/>
        </w:rPr>
      </w:pPr>
      <w:r w:rsidRPr="00DD2580">
        <w:rPr>
          <w:rFonts w:cstheme="minorHAnsi"/>
          <w:shd w:val="clear" w:color="auto" w:fill="FFFFFF"/>
        </w:rPr>
        <w:t>Med sektorji izven ETS je najpomembnejši promet, ki je v letu 2019 prispeval 52,1 % vseh izpustov, naslednji pomembni vir je kmetijstvo, ki je prispevalo 15,4 % izpustov, 12,2 % delež so izpusti zaradi rabe goriv v gospodinjstvih in v komercialno-institucionalnem sektorju. Ostali deleži so nekoliko nižji, in sicer raba goriv v industriji (6,2 %), preostali procesni izpusti (4,4 %), ravnanje z odpadki (4,0 %), ter drugo (ubežne emisije, preostanek energetike …) (4,7 %).</w:t>
      </w:r>
    </w:p>
    <w:p w14:paraId="7C8B6E0B" w14:textId="77777777" w:rsidR="009D69B4" w:rsidRDefault="009D69B4">
      <w:pPr>
        <w:rPr>
          <w:rFonts w:cstheme="minorHAnsi"/>
          <w:shd w:val="clear" w:color="auto" w:fill="FFFFFF"/>
        </w:rPr>
      </w:pPr>
    </w:p>
    <w:p w14:paraId="02DB5377" w14:textId="331DBC5F" w:rsidR="009C2A80" w:rsidRDefault="009C2A80">
      <w:pPr>
        <w:rPr>
          <w:rFonts w:cstheme="minorHAnsi"/>
          <w:shd w:val="clear" w:color="auto" w:fill="FFFFFF"/>
        </w:rPr>
      </w:pPr>
    </w:p>
    <w:p w14:paraId="16D04E93" w14:textId="3CEA7B4B" w:rsidR="009C2A80" w:rsidRDefault="009C2A80" w:rsidP="00B067F6">
      <w:pPr>
        <w:jc w:val="center"/>
        <w:rPr>
          <w:rFonts w:cstheme="minorHAnsi"/>
          <w:b/>
          <w:bCs/>
        </w:rPr>
      </w:pPr>
      <w:r>
        <w:rPr>
          <w:noProof/>
          <w:lang w:eastAsia="sl-SI"/>
        </w:rPr>
        <w:lastRenderedPageBreak/>
        <w:drawing>
          <wp:inline distT="0" distB="0" distL="0" distR="0" wp14:anchorId="521C0D00" wp14:editId="22F07F95">
            <wp:extent cx="5014109" cy="334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26" cy="335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6031A" w14:textId="77777777" w:rsidR="009D69B4" w:rsidRDefault="009D69B4" w:rsidP="00B067F6">
      <w:pPr>
        <w:jc w:val="center"/>
        <w:rPr>
          <w:rStyle w:val="Krepko"/>
          <w:rFonts w:cstheme="minorHAnsi"/>
          <w:color w:val="333333"/>
          <w:sz w:val="16"/>
          <w:szCs w:val="16"/>
          <w:shd w:val="clear" w:color="auto" w:fill="FFFFFF"/>
        </w:rPr>
      </w:pPr>
    </w:p>
    <w:p w14:paraId="288641DE" w14:textId="659713EF" w:rsidR="00B067F6" w:rsidRPr="00FC11CD" w:rsidRDefault="00B067F6" w:rsidP="00B067F6">
      <w:pPr>
        <w:jc w:val="center"/>
        <w:rPr>
          <w:rFonts w:cstheme="minorHAnsi"/>
          <w:noProof/>
        </w:rPr>
      </w:pPr>
      <w:r w:rsidRPr="00FC11CD">
        <w:rPr>
          <w:rStyle w:val="Krepko"/>
          <w:rFonts w:cstheme="minorHAnsi"/>
          <w:b w:val="0"/>
          <w:bCs w:val="0"/>
          <w:color w:val="333333"/>
          <w:shd w:val="clear" w:color="auto" w:fill="FFFFFF"/>
        </w:rPr>
        <w:t>Slika</w:t>
      </w:r>
      <w:r w:rsidR="00FC11CD" w:rsidRPr="00FC11CD">
        <w:rPr>
          <w:rStyle w:val="Krepko"/>
          <w:rFonts w:cstheme="minorHAnsi"/>
          <w:b w:val="0"/>
          <w:bCs w:val="0"/>
          <w:color w:val="333333"/>
          <w:shd w:val="clear" w:color="auto" w:fill="FFFFFF"/>
        </w:rPr>
        <w:t xml:space="preserve"> 2</w:t>
      </w:r>
      <w:r w:rsidRPr="00FC11CD">
        <w:rPr>
          <w:rStyle w:val="Krepko"/>
          <w:rFonts w:cstheme="minorHAnsi"/>
          <w:b w:val="0"/>
          <w:bCs w:val="0"/>
          <w:color w:val="333333"/>
          <w:shd w:val="clear" w:color="auto" w:fill="FFFFFF"/>
        </w:rPr>
        <w:t>:</w:t>
      </w:r>
      <w:r w:rsidRPr="00FC11CD">
        <w:rPr>
          <w:rStyle w:val="Krepko"/>
          <w:rFonts w:cstheme="minorHAnsi"/>
          <w:color w:val="333333"/>
          <w:shd w:val="clear" w:color="auto" w:fill="FFFFFF"/>
        </w:rPr>
        <w:t> </w:t>
      </w:r>
      <w:r w:rsidRPr="00FC11CD">
        <w:rPr>
          <w:rFonts w:cstheme="minorHAnsi"/>
          <w:color w:val="333333"/>
          <w:shd w:val="clear" w:color="auto" w:fill="FFFFFF"/>
        </w:rPr>
        <w:t>Izpusti toplogrednih plinov po glavnih kategorijah plinov, Slovenija, 1986-2019</w:t>
      </w:r>
      <w:r w:rsidR="00FC11CD">
        <w:rPr>
          <w:rFonts w:cstheme="minorHAnsi"/>
          <w:color w:val="333333"/>
          <w:shd w:val="clear" w:color="auto" w:fill="FFFFFF"/>
        </w:rPr>
        <w:t>; vir: ARSO</w:t>
      </w:r>
    </w:p>
    <w:p w14:paraId="0A88C38B" w14:textId="597C6FF2" w:rsidR="00B067F6" w:rsidRDefault="00B067F6">
      <w:pPr>
        <w:rPr>
          <w:rFonts w:cstheme="minorHAnsi"/>
          <w:b/>
          <w:bCs/>
        </w:rPr>
      </w:pPr>
    </w:p>
    <w:p w14:paraId="60F20237" w14:textId="3F4BDD82" w:rsidR="009D69B4" w:rsidRDefault="009D69B4">
      <w:pPr>
        <w:rPr>
          <w:rFonts w:cstheme="minorHAnsi"/>
          <w:b/>
          <w:bCs/>
        </w:rPr>
      </w:pPr>
    </w:p>
    <w:p w14:paraId="5C7DA2C9" w14:textId="6FE493E9" w:rsidR="009D69B4" w:rsidRDefault="009D69B4" w:rsidP="009D69B4">
      <w:pPr>
        <w:jc w:val="center"/>
        <w:rPr>
          <w:rFonts w:cstheme="minorHAnsi"/>
          <w:b/>
          <w:bCs/>
        </w:rPr>
      </w:pPr>
      <w:r>
        <w:rPr>
          <w:noProof/>
          <w:lang w:eastAsia="sl-SI"/>
        </w:rPr>
        <w:drawing>
          <wp:inline distT="0" distB="0" distL="0" distR="0" wp14:anchorId="182F1262" wp14:editId="12B5A9CA">
            <wp:extent cx="5371242" cy="35814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139" cy="35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B348D" w14:textId="5BEBD612" w:rsidR="00FC11CD" w:rsidRDefault="00FC11CD" w:rsidP="009D69B4">
      <w:pPr>
        <w:jc w:val="center"/>
        <w:rPr>
          <w:rFonts w:cstheme="minorHAnsi"/>
          <w:b/>
          <w:bCs/>
        </w:rPr>
      </w:pPr>
    </w:p>
    <w:p w14:paraId="01804A02" w14:textId="4BB35915" w:rsidR="00FC11CD" w:rsidRDefault="00FC11CD" w:rsidP="009D69B4">
      <w:pPr>
        <w:jc w:val="center"/>
        <w:rPr>
          <w:rFonts w:cstheme="minorHAnsi"/>
        </w:rPr>
      </w:pPr>
      <w:r w:rsidRPr="00FC11CD">
        <w:rPr>
          <w:rFonts w:cstheme="minorHAnsi"/>
        </w:rPr>
        <w:t xml:space="preserve">Slika 3: </w:t>
      </w:r>
      <w:r w:rsidR="00C57217">
        <w:rPr>
          <w:rFonts w:cstheme="minorHAnsi"/>
        </w:rPr>
        <w:t>Izpusti toplogrednih plinov po sektorjih; vir: ARSO</w:t>
      </w:r>
    </w:p>
    <w:p w14:paraId="3A6D51B2" w14:textId="1A35C6DA" w:rsidR="00D41E79" w:rsidRDefault="00D41E79" w:rsidP="009D69B4">
      <w:pPr>
        <w:jc w:val="center"/>
        <w:rPr>
          <w:rFonts w:cstheme="minorHAnsi"/>
        </w:rPr>
      </w:pPr>
    </w:p>
    <w:p w14:paraId="56672180" w14:textId="433A95F9" w:rsidR="0006227B" w:rsidRDefault="0006227B" w:rsidP="009D69B4">
      <w:pPr>
        <w:jc w:val="center"/>
        <w:rPr>
          <w:rFonts w:cstheme="minorHAnsi"/>
        </w:rPr>
      </w:pPr>
    </w:p>
    <w:p w14:paraId="3BBA733F" w14:textId="6D21DA53" w:rsidR="0006227B" w:rsidRDefault="0006227B" w:rsidP="0006227B">
      <w:pPr>
        <w:rPr>
          <w:rFonts w:cstheme="minorHAnsi"/>
          <w:b/>
        </w:rPr>
      </w:pPr>
      <w:r w:rsidRPr="0006227B">
        <w:rPr>
          <w:rFonts w:cstheme="minorHAnsi"/>
          <w:b/>
        </w:rPr>
        <w:t xml:space="preserve">In kako lahko občani prispevamo k blaženju podnebnih sprememb? </w:t>
      </w:r>
    </w:p>
    <w:p w14:paraId="46C195EB" w14:textId="77777777" w:rsidR="004B1708" w:rsidRPr="0006227B" w:rsidRDefault="004B1708" w:rsidP="0006227B">
      <w:pPr>
        <w:rPr>
          <w:rFonts w:cstheme="minorHAnsi"/>
          <w:b/>
        </w:rPr>
      </w:pPr>
    </w:p>
    <w:p w14:paraId="058DFE16" w14:textId="77777777" w:rsidR="002955FB" w:rsidRDefault="0006227B" w:rsidP="0006227B">
      <w:pPr>
        <w:rPr>
          <w:rFonts w:cstheme="minorHAnsi"/>
        </w:rPr>
      </w:pPr>
      <w:r>
        <w:rPr>
          <w:rFonts w:cstheme="minorHAnsi"/>
        </w:rPr>
        <w:t>Kot na mnogih drugih področjih lahko z ustreznim ravnanjem v gospodinjstvih, učinkovito rabo energije</w:t>
      </w:r>
      <w:r w:rsidR="00186B8B">
        <w:rPr>
          <w:rFonts w:cstheme="minorHAnsi"/>
        </w:rPr>
        <w:t>,</w:t>
      </w:r>
      <w:r>
        <w:rPr>
          <w:rFonts w:cstheme="minorHAnsi"/>
        </w:rPr>
        <w:t xml:space="preserve"> spremembami potovalnih navad</w:t>
      </w:r>
      <w:r w:rsidR="00186B8B">
        <w:rPr>
          <w:rFonts w:cstheme="minorHAnsi"/>
        </w:rPr>
        <w:t xml:space="preserve"> in ustreznim ravnanjem v kmetijstvu, vsak</w:t>
      </w:r>
      <w:r>
        <w:rPr>
          <w:rFonts w:cstheme="minorHAnsi"/>
        </w:rPr>
        <w:t xml:space="preserve"> prispeva svoj delež, ki </w:t>
      </w:r>
      <w:r w:rsidR="00861397">
        <w:rPr>
          <w:rFonts w:cstheme="minorHAnsi"/>
        </w:rPr>
        <w:t>skupno</w:t>
      </w:r>
      <w:r>
        <w:rPr>
          <w:rFonts w:cstheme="minorHAnsi"/>
        </w:rPr>
        <w:t xml:space="preserve"> daje vidne rezultate (zmanjšanje prometa v času </w:t>
      </w:r>
      <w:proofErr w:type="spellStart"/>
      <w:r>
        <w:rPr>
          <w:rFonts w:cstheme="minorHAnsi"/>
        </w:rPr>
        <w:t>lock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down</w:t>
      </w:r>
      <w:proofErr w:type="spellEnd"/>
      <w:r>
        <w:rPr>
          <w:rFonts w:cstheme="minorHAnsi"/>
        </w:rPr>
        <w:t xml:space="preserve">-a je </w:t>
      </w:r>
      <w:r w:rsidR="00861397">
        <w:rPr>
          <w:rFonts w:cstheme="minorHAnsi"/>
        </w:rPr>
        <w:t>znatno</w:t>
      </w:r>
      <w:r>
        <w:rPr>
          <w:rFonts w:cstheme="minorHAnsi"/>
        </w:rPr>
        <w:t xml:space="preserve"> prispevalo</w:t>
      </w:r>
      <w:r w:rsidR="002B044F">
        <w:rPr>
          <w:rFonts w:cstheme="minorHAnsi"/>
        </w:rPr>
        <w:t xml:space="preserve"> k čistejšemu zraku, dolgoročno</w:t>
      </w:r>
      <w:r>
        <w:rPr>
          <w:rFonts w:cstheme="minorHAnsi"/>
        </w:rPr>
        <w:t xml:space="preserve"> pa vpliva tudi na podnebne spremembe).</w:t>
      </w:r>
    </w:p>
    <w:p w14:paraId="399854D0" w14:textId="5056D327" w:rsidR="0006227B" w:rsidRDefault="001A42EB" w:rsidP="0006227B">
      <w:pPr>
        <w:rPr>
          <w:rFonts w:cstheme="minorHAnsi"/>
        </w:rPr>
      </w:pPr>
      <w:r>
        <w:rPr>
          <w:rFonts w:cstheme="minorHAnsi"/>
        </w:rPr>
        <w:t>Podajamo le nekaj nasvetov</w:t>
      </w:r>
      <w:r w:rsidR="00861397">
        <w:rPr>
          <w:rFonts w:cstheme="minorHAnsi"/>
        </w:rPr>
        <w:t>,</w:t>
      </w:r>
      <w:r>
        <w:rPr>
          <w:rFonts w:cstheme="minorHAnsi"/>
        </w:rPr>
        <w:t xml:space="preserve"> kako lahko sami prispevamo k zmanjševanju toplogrednih plinov.</w:t>
      </w:r>
    </w:p>
    <w:p w14:paraId="029E208E" w14:textId="77777777" w:rsidR="0094025E" w:rsidRDefault="0094025E" w:rsidP="0006227B">
      <w:pPr>
        <w:rPr>
          <w:rFonts w:cstheme="minorHAnsi"/>
        </w:rPr>
      </w:pPr>
    </w:p>
    <w:p w14:paraId="4E70DE95" w14:textId="2D0DB9D0" w:rsidR="0006227B" w:rsidRDefault="0006227B" w:rsidP="0006227B">
      <w:pPr>
        <w:rPr>
          <w:rFonts w:cstheme="minorHAnsi"/>
        </w:rPr>
      </w:pPr>
      <w:r>
        <w:rPr>
          <w:rFonts w:cstheme="minorHAnsi"/>
        </w:rPr>
        <w:t>Gospodinjstva:</w:t>
      </w:r>
    </w:p>
    <w:p w14:paraId="2AE44C1D" w14:textId="42B7EFC4" w:rsidR="0006227B" w:rsidRDefault="0006227B" w:rsidP="0006227B">
      <w:pPr>
        <w:pStyle w:val="Odstavekseznam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zmanjšujemo porabo energije z energetsko učinkovitimi napravami in iz obnovljivih virov (sijalke, izolacija doma, energetsko učinkovito stavbno pohištvo, celovite sanacije stavb,</w:t>
      </w:r>
      <w:r w:rsidR="00861397">
        <w:rPr>
          <w:rFonts w:cstheme="minorHAnsi"/>
        </w:rPr>
        <w:t xml:space="preserve"> energetsko učinkoviti gospodinjski aparati, .</w:t>
      </w:r>
      <w:r>
        <w:rPr>
          <w:rFonts w:cstheme="minorHAnsi"/>
        </w:rPr>
        <w:t>..)</w:t>
      </w:r>
      <w:r w:rsidR="00503678">
        <w:rPr>
          <w:rFonts w:cstheme="minorHAnsi"/>
        </w:rPr>
        <w:t>;</w:t>
      </w:r>
    </w:p>
    <w:p w14:paraId="5B587BA7" w14:textId="3397B95C" w:rsidR="0006227B" w:rsidRDefault="0006227B" w:rsidP="0006227B">
      <w:pPr>
        <w:pStyle w:val="Odstavekseznam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kupujemo lokalno pridelano hrano</w:t>
      </w:r>
      <w:r w:rsidR="00861397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861397">
        <w:rPr>
          <w:rFonts w:cstheme="minorHAnsi"/>
        </w:rPr>
        <w:t xml:space="preserve">pretežno </w:t>
      </w:r>
      <w:r>
        <w:rPr>
          <w:rFonts w:cstheme="minorHAnsi"/>
        </w:rPr>
        <w:t xml:space="preserve">rastlinskega izvora, </w:t>
      </w:r>
      <w:r w:rsidR="00861397">
        <w:rPr>
          <w:rFonts w:cstheme="minorHAnsi"/>
        </w:rPr>
        <w:t xml:space="preserve">pripravljajmo ustrezno velike obroke </w:t>
      </w:r>
      <w:r>
        <w:rPr>
          <w:rFonts w:cstheme="minorHAnsi"/>
        </w:rPr>
        <w:t>in pazimo na količine odpadkov, ki jih skrbno ločujemo;</w:t>
      </w:r>
    </w:p>
    <w:p w14:paraId="61FB4BAD" w14:textId="695EF671" w:rsidR="00503678" w:rsidRDefault="00503678" w:rsidP="0006227B">
      <w:pPr>
        <w:pStyle w:val="Odstavekseznam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zamislimo si domač vrtiček, uporabljajmo ekološki način pridelave</w:t>
      </w:r>
      <w:r w:rsidR="00773D89">
        <w:rPr>
          <w:rFonts w:cstheme="minorHAnsi"/>
        </w:rPr>
        <w:t>, zasadimo čim več drevja in grmičevja;</w:t>
      </w:r>
    </w:p>
    <w:p w14:paraId="41D778C7" w14:textId="6A5EE229" w:rsidR="00503678" w:rsidRDefault="00503678" w:rsidP="0006227B">
      <w:pPr>
        <w:pStyle w:val="Odstavekseznam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varčujmo z vodo v gospodinjstvu, uporabl</w:t>
      </w:r>
      <w:r w:rsidR="00773D89">
        <w:rPr>
          <w:rFonts w:cstheme="minorHAnsi"/>
        </w:rPr>
        <w:t>jajmo deževnico za zalivanje</w:t>
      </w:r>
      <w:r w:rsidR="007D63B3">
        <w:rPr>
          <w:rFonts w:cstheme="minorHAnsi"/>
        </w:rPr>
        <w:t>;</w:t>
      </w:r>
    </w:p>
    <w:p w14:paraId="16EF79EF" w14:textId="0C2DEC05" w:rsidR="00861397" w:rsidRDefault="007D63B3" w:rsidP="0006227B">
      <w:pPr>
        <w:pStyle w:val="Odstavekseznam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prostore ogrevajmo do nižjih temperatur, bodimo pozorni na pravilen način kurjenja (predvsem z lesno biomaso), redno vzdržujmo kurilne naprave in sledimo tehnološkemu razvoju</w:t>
      </w:r>
      <w:r w:rsidR="0094025E">
        <w:rPr>
          <w:rFonts w:cstheme="minorHAnsi"/>
        </w:rPr>
        <w:t>, uporabljajmo energente z manjšim prispevkom TGP</w:t>
      </w:r>
      <w:r w:rsidR="008C4E46">
        <w:rPr>
          <w:rFonts w:cstheme="minorHAnsi"/>
        </w:rPr>
        <w:t>;</w:t>
      </w:r>
    </w:p>
    <w:p w14:paraId="551736DB" w14:textId="138CC65E" w:rsidR="007D63B3" w:rsidRDefault="00861397" w:rsidP="0006227B">
      <w:pPr>
        <w:pStyle w:val="Odstavekseznam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bodimo varčni pri uporabi detergentov, čistil in previdno uporabljajmo kemikalije</w:t>
      </w:r>
      <w:r w:rsidR="0094025E">
        <w:rPr>
          <w:rFonts w:cstheme="minorHAnsi"/>
        </w:rPr>
        <w:t>.</w:t>
      </w:r>
    </w:p>
    <w:p w14:paraId="0B36A93C" w14:textId="77777777" w:rsidR="007D63B3" w:rsidRDefault="007D63B3" w:rsidP="0094025E">
      <w:pPr>
        <w:pStyle w:val="Odstavekseznama"/>
        <w:rPr>
          <w:rFonts w:cstheme="minorHAnsi"/>
        </w:rPr>
      </w:pPr>
    </w:p>
    <w:p w14:paraId="7ECF22FF" w14:textId="5997F3C6" w:rsidR="0006227B" w:rsidRDefault="0006227B" w:rsidP="0006227B">
      <w:pPr>
        <w:rPr>
          <w:rFonts w:cstheme="minorHAnsi"/>
        </w:rPr>
      </w:pPr>
      <w:r>
        <w:rPr>
          <w:rFonts w:cstheme="minorHAnsi"/>
        </w:rPr>
        <w:t>Promet:</w:t>
      </w:r>
    </w:p>
    <w:p w14:paraId="356FD77C" w14:textId="7FC2DE3B" w:rsidR="0006227B" w:rsidRDefault="0006227B" w:rsidP="0006227B">
      <w:pPr>
        <w:pStyle w:val="Odstavekseznam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poslužujemo se javnih prevoznih sredstev, izogibamo se individualnim prevozom z osebnim avtomobilom, uporabljamo kolo, hojo, delimo prevoze, </w:t>
      </w:r>
      <w:r w:rsidR="00B53A63">
        <w:rPr>
          <w:rFonts w:cstheme="minorHAnsi"/>
        </w:rPr>
        <w:t>racionaliziramo naku</w:t>
      </w:r>
      <w:r w:rsidR="0094025E">
        <w:rPr>
          <w:rFonts w:cstheme="minorHAnsi"/>
        </w:rPr>
        <w:t>pe in jih opravljamo več skupaj;</w:t>
      </w:r>
    </w:p>
    <w:p w14:paraId="71D489FF" w14:textId="0E2BDE2C" w:rsidR="0094025E" w:rsidRDefault="0094025E" w:rsidP="0006227B">
      <w:pPr>
        <w:pStyle w:val="Odstavekseznam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razmišljajmo v smeri </w:t>
      </w:r>
      <w:proofErr w:type="spellStart"/>
      <w:r>
        <w:rPr>
          <w:rFonts w:cstheme="minorHAnsi"/>
        </w:rPr>
        <w:t>elektromobilnosti</w:t>
      </w:r>
      <w:proofErr w:type="spellEnd"/>
      <w:r>
        <w:rPr>
          <w:rFonts w:cstheme="minorHAnsi"/>
        </w:rPr>
        <w:t>;</w:t>
      </w:r>
    </w:p>
    <w:p w14:paraId="01BA3F34" w14:textId="286E52B3" w:rsidR="0094025E" w:rsidRPr="0006227B" w:rsidRDefault="002955FB" w:rsidP="0006227B">
      <w:pPr>
        <w:pStyle w:val="Odstavekseznam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vozimo varčno, manjše razdalje premagujmo peš.</w:t>
      </w:r>
    </w:p>
    <w:p w14:paraId="41B68553" w14:textId="77777777" w:rsidR="00D37A0C" w:rsidRDefault="00D37A0C" w:rsidP="00D41E79">
      <w:pPr>
        <w:rPr>
          <w:rFonts w:cstheme="minorHAnsi"/>
        </w:rPr>
      </w:pPr>
    </w:p>
    <w:p w14:paraId="56424BD7" w14:textId="65387392" w:rsidR="00D41E79" w:rsidRDefault="00306679" w:rsidP="00D41E79">
      <w:pPr>
        <w:rPr>
          <w:rFonts w:cstheme="minorHAnsi"/>
        </w:rPr>
      </w:pPr>
      <w:r>
        <w:rPr>
          <w:rFonts w:cstheme="minorHAnsi"/>
        </w:rPr>
        <w:t>Kmetijstvo:</w:t>
      </w:r>
    </w:p>
    <w:p w14:paraId="629B74D0" w14:textId="48371D2A" w:rsidR="00306679" w:rsidRPr="00F86FC2" w:rsidRDefault="00D37A0C" w:rsidP="00F86FC2">
      <w:pPr>
        <w:pStyle w:val="Odstavekseznama"/>
        <w:numPr>
          <w:ilvl w:val="0"/>
          <w:numId w:val="8"/>
        </w:numPr>
        <w:contextualSpacing w:val="0"/>
        <w:jc w:val="left"/>
        <w:rPr>
          <w:rFonts w:eastAsia="Times New Roman" w:cstheme="minorHAnsi"/>
          <w:color w:val="111111"/>
          <w:lang w:eastAsia="sl-SI"/>
        </w:rPr>
      </w:pPr>
      <w:r w:rsidRPr="00F86FC2">
        <w:rPr>
          <w:rFonts w:eastAsia="Times New Roman" w:cstheme="minorHAnsi"/>
          <w:color w:val="111111"/>
          <w:lang w:eastAsia="sl-SI"/>
        </w:rPr>
        <w:t>reja živali naj bo učinkovita</w:t>
      </w:r>
      <w:r w:rsidR="00306679" w:rsidRPr="00F86FC2">
        <w:rPr>
          <w:rFonts w:eastAsia="Times New Roman" w:cstheme="minorHAnsi"/>
          <w:color w:val="111111"/>
          <w:lang w:eastAsia="sl-SI"/>
        </w:rPr>
        <w:t xml:space="preserve"> (oskrba živali, izravnanost krmnih obrokov, pasma in plemenska vrednost živali, obvladovanje bolezni in reprodukcije);</w:t>
      </w:r>
    </w:p>
    <w:p w14:paraId="00DD2EBA" w14:textId="09085608" w:rsidR="00306679" w:rsidRPr="00F86FC2" w:rsidRDefault="00D37A0C" w:rsidP="00F86FC2">
      <w:pPr>
        <w:pStyle w:val="Odstavekseznama"/>
        <w:numPr>
          <w:ilvl w:val="0"/>
          <w:numId w:val="8"/>
        </w:numPr>
        <w:contextualSpacing w:val="0"/>
        <w:jc w:val="left"/>
        <w:rPr>
          <w:rFonts w:eastAsia="Times New Roman" w:cstheme="minorHAnsi"/>
          <w:color w:val="111111"/>
          <w:lang w:eastAsia="sl-SI"/>
        </w:rPr>
      </w:pPr>
      <w:r w:rsidRPr="00F86FC2">
        <w:rPr>
          <w:rFonts w:eastAsia="Times New Roman" w:cstheme="minorHAnsi"/>
          <w:color w:val="111111"/>
          <w:lang w:eastAsia="sl-SI"/>
        </w:rPr>
        <w:t xml:space="preserve">zmanjšujmo TGP z </w:t>
      </w:r>
      <w:r w:rsidR="00306679" w:rsidRPr="00F86FC2">
        <w:rPr>
          <w:rFonts w:eastAsia="Times New Roman" w:cstheme="minorHAnsi"/>
          <w:color w:val="111111"/>
          <w:lang w:eastAsia="sl-SI"/>
        </w:rPr>
        <w:t>način</w:t>
      </w:r>
      <w:r w:rsidRPr="00F86FC2">
        <w:rPr>
          <w:rFonts w:eastAsia="Times New Roman" w:cstheme="minorHAnsi"/>
          <w:color w:val="111111"/>
          <w:lang w:eastAsia="sl-SI"/>
        </w:rPr>
        <w:t>om</w:t>
      </w:r>
      <w:r w:rsidR="00306679" w:rsidRPr="00F86FC2">
        <w:rPr>
          <w:rFonts w:eastAsia="Times New Roman" w:cstheme="minorHAnsi"/>
          <w:color w:val="111111"/>
          <w:lang w:eastAsia="sl-SI"/>
        </w:rPr>
        <w:t xml:space="preserve"> reje in skladiščenja živinskih gnojil (paša, gnojevka, hlevski gnoj, bioplin);</w:t>
      </w:r>
    </w:p>
    <w:p w14:paraId="40563CE8" w14:textId="0CFB1021" w:rsidR="00306679" w:rsidRPr="00F86FC2" w:rsidRDefault="001A3F05" w:rsidP="00F86FC2">
      <w:pPr>
        <w:pStyle w:val="Odstavekseznama"/>
        <w:numPr>
          <w:ilvl w:val="0"/>
          <w:numId w:val="8"/>
        </w:numPr>
        <w:contextualSpacing w:val="0"/>
        <w:jc w:val="left"/>
        <w:rPr>
          <w:rFonts w:eastAsia="Times New Roman" w:cstheme="minorHAnsi"/>
          <w:color w:val="111111"/>
          <w:lang w:eastAsia="sl-SI"/>
        </w:rPr>
      </w:pPr>
      <w:r>
        <w:rPr>
          <w:rFonts w:eastAsia="Times New Roman" w:cstheme="minorHAnsi"/>
          <w:color w:val="111111"/>
          <w:lang w:eastAsia="sl-SI"/>
        </w:rPr>
        <w:t xml:space="preserve">poskrbimo za </w:t>
      </w:r>
      <w:r w:rsidR="00306679" w:rsidRPr="00F86FC2">
        <w:rPr>
          <w:rFonts w:eastAsia="Times New Roman" w:cstheme="minorHAnsi"/>
          <w:color w:val="111111"/>
          <w:lang w:eastAsia="sl-SI"/>
        </w:rPr>
        <w:t xml:space="preserve">učinkovitost kroženja dušika v kmetijstvu (vrsta gnojil, gnojilni odmerki, založenost tal s fosforjem, kalijem in drugimi hranili, pH </w:t>
      </w:r>
      <w:r>
        <w:rPr>
          <w:rFonts w:eastAsia="Times New Roman" w:cstheme="minorHAnsi"/>
          <w:color w:val="111111"/>
          <w:lang w:eastAsia="sl-SI"/>
        </w:rPr>
        <w:t>t</w:t>
      </w:r>
      <w:r w:rsidR="00306679" w:rsidRPr="00F86FC2">
        <w:rPr>
          <w:rFonts w:eastAsia="Times New Roman" w:cstheme="minorHAnsi"/>
          <w:color w:val="111111"/>
          <w:lang w:eastAsia="sl-SI"/>
        </w:rPr>
        <w:t>al, način gnojenja, ukrepi za zadrževanje dušika v tleh, obvladovanje suše, obvladovanje erozije, ustrezne sorte, varstvo rastlin pred boleznimi in škodljivci)</w:t>
      </w:r>
      <w:r>
        <w:rPr>
          <w:rFonts w:eastAsia="Times New Roman" w:cstheme="minorHAnsi"/>
          <w:color w:val="111111"/>
          <w:lang w:eastAsia="sl-SI"/>
        </w:rPr>
        <w:t>.</w:t>
      </w:r>
    </w:p>
    <w:p w14:paraId="10BDBA1F" w14:textId="0FEEDA2F" w:rsidR="00306679" w:rsidRDefault="00306679" w:rsidP="00D41E79">
      <w:pPr>
        <w:rPr>
          <w:rFonts w:cstheme="minorHAnsi"/>
        </w:rPr>
      </w:pPr>
    </w:p>
    <w:p w14:paraId="5934F1D3" w14:textId="727CD6F7" w:rsidR="001A3F05" w:rsidRPr="001A3F05" w:rsidRDefault="001A3F05" w:rsidP="00D41E79">
      <w:pPr>
        <w:rPr>
          <w:rFonts w:cstheme="minorHAnsi"/>
          <w:b/>
        </w:rPr>
      </w:pPr>
      <w:r w:rsidRPr="001A3F05">
        <w:rPr>
          <w:rFonts w:cstheme="minorHAnsi"/>
          <w:b/>
        </w:rPr>
        <w:t>Ukrepati je potrebno ZDAJ, TAKOJ, čez desetletje bo za naslednje rodove že prepozno!</w:t>
      </w:r>
    </w:p>
    <w:p w14:paraId="003A9022" w14:textId="77777777" w:rsidR="001A3F05" w:rsidRDefault="001A3F05" w:rsidP="00D41E79">
      <w:pPr>
        <w:rPr>
          <w:rFonts w:cstheme="minorHAnsi"/>
        </w:rPr>
      </w:pPr>
    </w:p>
    <w:p w14:paraId="4610ADF5" w14:textId="6B04B5F5" w:rsidR="00306679" w:rsidRDefault="00306679" w:rsidP="00D41E79">
      <w:pPr>
        <w:rPr>
          <w:rFonts w:cstheme="minorHAnsi"/>
        </w:rPr>
      </w:pPr>
    </w:p>
    <w:p w14:paraId="2EC56088" w14:textId="77777777" w:rsidR="00284375" w:rsidRDefault="00284375" w:rsidP="00D41E79">
      <w:pPr>
        <w:rPr>
          <w:rFonts w:cstheme="minorHAnsi"/>
        </w:rPr>
      </w:pPr>
    </w:p>
    <w:p w14:paraId="5A632923" w14:textId="7C6E346C" w:rsidR="00D41E79" w:rsidRDefault="00D41E79" w:rsidP="00D41E79">
      <w:pPr>
        <w:rPr>
          <w:rFonts w:cstheme="minorHAnsi"/>
        </w:rPr>
      </w:pPr>
      <w:r>
        <w:rPr>
          <w:rFonts w:cstheme="minorHAnsi"/>
        </w:rPr>
        <w:t>Pripravila:</w:t>
      </w:r>
    </w:p>
    <w:p w14:paraId="2ADE0A39" w14:textId="7B51B319" w:rsidR="00284375" w:rsidRDefault="00284375" w:rsidP="00D41E79">
      <w:pPr>
        <w:rPr>
          <w:rFonts w:cstheme="minorHAnsi"/>
        </w:rPr>
      </w:pPr>
      <w:r>
        <w:rPr>
          <w:rFonts w:cstheme="minorHAnsi"/>
        </w:rPr>
        <w:t>SKUPNA OBČINSKA UPRAVA</w:t>
      </w:r>
    </w:p>
    <w:p w14:paraId="4278C87B" w14:textId="16BE53B7" w:rsidR="00B52DE4" w:rsidRPr="00B52DE4" w:rsidRDefault="00D41E79" w:rsidP="00D41E79">
      <w:pPr>
        <w:rPr>
          <w:rFonts w:cstheme="minorHAnsi"/>
        </w:rPr>
      </w:pPr>
      <w:r>
        <w:rPr>
          <w:rFonts w:cstheme="minorHAnsi"/>
        </w:rPr>
        <w:t>Irena Kozar</w:t>
      </w:r>
    </w:p>
    <w:sectPr w:rsidR="00B52DE4" w:rsidRPr="00B52DE4" w:rsidSect="006019BC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9195" w14:textId="77777777" w:rsidR="00910AFD" w:rsidRDefault="00910AFD" w:rsidP="00035E62">
      <w:r>
        <w:separator/>
      </w:r>
    </w:p>
  </w:endnote>
  <w:endnote w:type="continuationSeparator" w:id="0">
    <w:p w14:paraId="68E07959" w14:textId="77777777" w:rsidR="00910AFD" w:rsidRDefault="00910AFD" w:rsidP="0003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3728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0237AC2" w14:textId="77627D84" w:rsidR="007336EB" w:rsidRPr="007336EB" w:rsidRDefault="007336EB">
        <w:pPr>
          <w:pStyle w:val="Noga"/>
          <w:jc w:val="right"/>
          <w:rPr>
            <w:sz w:val="16"/>
            <w:szCs w:val="16"/>
          </w:rPr>
        </w:pPr>
        <w:r w:rsidRPr="007336EB">
          <w:rPr>
            <w:sz w:val="16"/>
            <w:szCs w:val="16"/>
          </w:rPr>
          <w:fldChar w:fldCharType="begin"/>
        </w:r>
        <w:r w:rsidRPr="007336EB">
          <w:rPr>
            <w:sz w:val="16"/>
            <w:szCs w:val="16"/>
          </w:rPr>
          <w:instrText>PAGE   \* MERGEFORMAT</w:instrText>
        </w:r>
        <w:r w:rsidRPr="007336EB">
          <w:rPr>
            <w:sz w:val="16"/>
            <w:szCs w:val="16"/>
          </w:rPr>
          <w:fldChar w:fldCharType="separate"/>
        </w:r>
        <w:r w:rsidR="005822B4">
          <w:rPr>
            <w:noProof/>
            <w:sz w:val="16"/>
            <w:szCs w:val="16"/>
          </w:rPr>
          <w:t>2</w:t>
        </w:r>
        <w:r w:rsidRPr="007336EB">
          <w:rPr>
            <w:sz w:val="16"/>
            <w:szCs w:val="16"/>
          </w:rPr>
          <w:fldChar w:fldCharType="end"/>
        </w:r>
      </w:p>
    </w:sdtContent>
  </w:sdt>
  <w:p w14:paraId="79132C03" w14:textId="77777777" w:rsidR="007336EB" w:rsidRDefault="007336E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5327" w14:textId="77777777" w:rsidR="00910AFD" w:rsidRDefault="00910AFD" w:rsidP="00035E62">
      <w:r>
        <w:separator/>
      </w:r>
    </w:p>
  </w:footnote>
  <w:footnote w:type="continuationSeparator" w:id="0">
    <w:p w14:paraId="67D3837D" w14:textId="77777777" w:rsidR="00910AFD" w:rsidRDefault="00910AFD" w:rsidP="00035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5C85"/>
    <w:multiLevelType w:val="multilevel"/>
    <w:tmpl w:val="E6701506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D4D9F"/>
    <w:multiLevelType w:val="hybridMultilevel"/>
    <w:tmpl w:val="337EE6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1A34"/>
    <w:multiLevelType w:val="hybridMultilevel"/>
    <w:tmpl w:val="F8D25860"/>
    <w:lvl w:ilvl="0" w:tplc="E4A8C37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AFD"/>
    <w:multiLevelType w:val="multilevel"/>
    <w:tmpl w:val="E6701506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352A5"/>
    <w:multiLevelType w:val="hybridMultilevel"/>
    <w:tmpl w:val="B106E300"/>
    <w:lvl w:ilvl="0" w:tplc="E4A8C37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57C4F"/>
    <w:multiLevelType w:val="multilevel"/>
    <w:tmpl w:val="5EB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43F68"/>
    <w:multiLevelType w:val="hybridMultilevel"/>
    <w:tmpl w:val="A31013C8"/>
    <w:lvl w:ilvl="0" w:tplc="E4A8C37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A6492"/>
    <w:multiLevelType w:val="hybridMultilevel"/>
    <w:tmpl w:val="E5B04362"/>
    <w:lvl w:ilvl="0" w:tplc="E4A8C37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23"/>
    <w:rsid w:val="00035E62"/>
    <w:rsid w:val="0006227B"/>
    <w:rsid w:val="000D77AA"/>
    <w:rsid w:val="000E0839"/>
    <w:rsid w:val="00186B8B"/>
    <w:rsid w:val="001A3F05"/>
    <w:rsid w:val="001A42EB"/>
    <w:rsid w:val="00211FD6"/>
    <w:rsid w:val="002260B2"/>
    <w:rsid w:val="00243A85"/>
    <w:rsid w:val="00284375"/>
    <w:rsid w:val="002955FB"/>
    <w:rsid w:val="002B044F"/>
    <w:rsid w:val="00306679"/>
    <w:rsid w:val="00355186"/>
    <w:rsid w:val="003A71E0"/>
    <w:rsid w:val="003C46A1"/>
    <w:rsid w:val="003E515E"/>
    <w:rsid w:val="00400B02"/>
    <w:rsid w:val="004B1708"/>
    <w:rsid w:val="004F7AE0"/>
    <w:rsid w:val="00503678"/>
    <w:rsid w:val="005818EF"/>
    <w:rsid w:val="005822B4"/>
    <w:rsid w:val="005D4FD0"/>
    <w:rsid w:val="005D5876"/>
    <w:rsid w:val="005D677E"/>
    <w:rsid w:val="005D6E29"/>
    <w:rsid w:val="006019BC"/>
    <w:rsid w:val="006D0523"/>
    <w:rsid w:val="007336EB"/>
    <w:rsid w:val="00773D89"/>
    <w:rsid w:val="007C2CA2"/>
    <w:rsid w:val="007D5175"/>
    <w:rsid w:val="007D63B3"/>
    <w:rsid w:val="007E0FE2"/>
    <w:rsid w:val="00812D1E"/>
    <w:rsid w:val="008510D8"/>
    <w:rsid w:val="00861397"/>
    <w:rsid w:val="0088356D"/>
    <w:rsid w:val="00890C43"/>
    <w:rsid w:val="008C4E46"/>
    <w:rsid w:val="00910AFD"/>
    <w:rsid w:val="0094025E"/>
    <w:rsid w:val="00941369"/>
    <w:rsid w:val="009506EE"/>
    <w:rsid w:val="009B3F51"/>
    <w:rsid w:val="009B6FD6"/>
    <w:rsid w:val="009C2A80"/>
    <w:rsid w:val="009D69B4"/>
    <w:rsid w:val="009E4D07"/>
    <w:rsid w:val="00AD7785"/>
    <w:rsid w:val="00B067F6"/>
    <w:rsid w:val="00B167E2"/>
    <w:rsid w:val="00B52DE4"/>
    <w:rsid w:val="00B53A63"/>
    <w:rsid w:val="00B64AED"/>
    <w:rsid w:val="00B93D1C"/>
    <w:rsid w:val="00C042A7"/>
    <w:rsid w:val="00C0731A"/>
    <w:rsid w:val="00C153AB"/>
    <w:rsid w:val="00C16273"/>
    <w:rsid w:val="00C57217"/>
    <w:rsid w:val="00CA6BCA"/>
    <w:rsid w:val="00D15BE7"/>
    <w:rsid w:val="00D37A0C"/>
    <w:rsid w:val="00D41E79"/>
    <w:rsid w:val="00DA223F"/>
    <w:rsid w:val="00DD2580"/>
    <w:rsid w:val="00E13DB1"/>
    <w:rsid w:val="00E14723"/>
    <w:rsid w:val="00F54D3D"/>
    <w:rsid w:val="00F73FBD"/>
    <w:rsid w:val="00F86FC2"/>
    <w:rsid w:val="00F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73517"/>
  <w15:chartTrackingRefBased/>
  <w15:docId w15:val="{264E9571-D5D5-46C4-80EC-6BA07B66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4AED"/>
    <w:pPr>
      <w:spacing w:after="0" w:line="240" w:lineRule="auto"/>
      <w:contextualSpacing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06EE"/>
    <w:pPr>
      <w:ind w:left="720"/>
    </w:pPr>
  </w:style>
  <w:style w:type="character" w:customStyle="1" w:styleId="fontstyle01">
    <w:name w:val="fontstyle01"/>
    <w:basedOn w:val="Privzetapisavaodstavka"/>
    <w:rsid w:val="007C2CA2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styleId="Krepko">
    <w:name w:val="Strong"/>
    <w:basedOn w:val="Privzetapisavaodstavka"/>
    <w:uiPriority w:val="22"/>
    <w:qFormat/>
    <w:rsid w:val="00B067F6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035E62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5E62"/>
  </w:style>
  <w:style w:type="paragraph" w:styleId="Noga">
    <w:name w:val="footer"/>
    <w:basedOn w:val="Navaden"/>
    <w:link w:val="NogaZnak"/>
    <w:uiPriority w:val="99"/>
    <w:unhideWhenUsed/>
    <w:rsid w:val="00035E62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035E62"/>
  </w:style>
  <w:style w:type="character" w:styleId="Hiperpovezava">
    <w:name w:val="Hyperlink"/>
    <w:basedOn w:val="Privzetapisavaodstavka"/>
    <w:uiPriority w:val="99"/>
    <w:unhideWhenUsed/>
    <w:rsid w:val="00B52DE4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52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Temperature zraka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Sheet1!$B$3:$B$4</c:f>
              <c:strCache>
                <c:ptCount val="2"/>
                <c:pt idx="0">
                  <c:v>Kredarica [°C]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Sheet1!$A$14:$A$64</c:f>
              <c:numCache>
                <c:formatCode>General</c:formatCode>
                <c:ptCount val="51"/>
                <c:pt idx="0">
                  <c:v>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2014</c:v>
                </c:pt>
                <c:pt idx="44">
                  <c:v>2014</c:v>
                </c:pt>
                <c:pt idx="45">
                  <c:v>2015</c:v>
                </c:pt>
                <c:pt idx="46">
                  <c:v>2016</c:v>
                </c:pt>
                <c:pt idx="47">
                  <c:v>2017</c:v>
                </c:pt>
                <c:pt idx="48">
                  <c:v>2018</c:v>
                </c:pt>
                <c:pt idx="49">
                  <c:v>2019</c:v>
                </c:pt>
                <c:pt idx="50">
                  <c:v>2020</c:v>
                </c:pt>
              </c:numCache>
            </c:numRef>
          </c:cat>
          <c:val>
            <c:numRef>
              <c:f>Sheet1!$B$14:$B$64</c:f>
              <c:numCache>
                <c:formatCode>General</c:formatCode>
                <c:ptCount val="51"/>
                <c:pt idx="0">
                  <c:v>-2.2000000000000002</c:v>
                </c:pt>
                <c:pt idx="1">
                  <c:v>-1.7</c:v>
                </c:pt>
                <c:pt idx="2">
                  <c:v>-1.8</c:v>
                </c:pt>
                <c:pt idx="3">
                  <c:v>-1.9</c:v>
                </c:pt>
                <c:pt idx="4">
                  <c:v>-2.1</c:v>
                </c:pt>
                <c:pt idx="5">
                  <c:v>-1.3</c:v>
                </c:pt>
                <c:pt idx="6">
                  <c:v>-2.2999999999999998</c:v>
                </c:pt>
                <c:pt idx="7">
                  <c:v>-1.3</c:v>
                </c:pt>
                <c:pt idx="8">
                  <c:v>-2</c:v>
                </c:pt>
                <c:pt idx="9">
                  <c:v>-2</c:v>
                </c:pt>
                <c:pt idx="10">
                  <c:v>-2.4</c:v>
                </c:pt>
                <c:pt idx="11">
                  <c:v>-2.1</c:v>
                </c:pt>
                <c:pt idx="12">
                  <c:v>-1</c:v>
                </c:pt>
                <c:pt idx="13">
                  <c:v>-0.7</c:v>
                </c:pt>
                <c:pt idx="14">
                  <c:v>-2.4</c:v>
                </c:pt>
                <c:pt idx="15">
                  <c:v>-1.6</c:v>
                </c:pt>
                <c:pt idx="16">
                  <c:v>-1.3</c:v>
                </c:pt>
                <c:pt idx="17">
                  <c:v>-1.4</c:v>
                </c:pt>
                <c:pt idx="18">
                  <c:v>-1.2</c:v>
                </c:pt>
                <c:pt idx="19">
                  <c:v>-0.3</c:v>
                </c:pt>
                <c:pt idx="20">
                  <c:v>-0.6</c:v>
                </c:pt>
                <c:pt idx="21">
                  <c:v>-1.6</c:v>
                </c:pt>
                <c:pt idx="22">
                  <c:v>-0.2</c:v>
                </c:pt>
                <c:pt idx="23">
                  <c:v>-1.1000000000000001</c:v>
                </c:pt>
                <c:pt idx="24">
                  <c:v>-0.1</c:v>
                </c:pt>
                <c:pt idx="25">
                  <c:v>-1.4</c:v>
                </c:pt>
                <c:pt idx="26">
                  <c:v>-1.9</c:v>
                </c:pt>
                <c:pt idx="27">
                  <c:v>-0.6</c:v>
                </c:pt>
                <c:pt idx="28">
                  <c:v>-0.9</c:v>
                </c:pt>
                <c:pt idx="29">
                  <c:v>-1</c:v>
                </c:pt>
                <c:pt idx="30">
                  <c:v>0</c:v>
                </c:pt>
                <c:pt idx="31">
                  <c:v>-1</c:v>
                </c:pt>
                <c:pt idx="32">
                  <c:v>-0.2</c:v>
                </c:pt>
                <c:pt idx="33">
                  <c:v>-0.4</c:v>
                </c:pt>
                <c:pt idx="34">
                  <c:v>-1.1000000000000001</c:v>
                </c:pt>
                <c:pt idx="35">
                  <c:v>-1.6</c:v>
                </c:pt>
                <c:pt idx="36">
                  <c:v>-0.3</c:v>
                </c:pt>
                <c:pt idx="37">
                  <c:v>-0.3</c:v>
                </c:pt>
                <c:pt idx="38">
                  <c:v>-0.6</c:v>
                </c:pt>
                <c:pt idx="39">
                  <c:v>-0.7</c:v>
                </c:pt>
                <c:pt idx="40">
                  <c:v>-1.8</c:v>
                </c:pt>
                <c:pt idx="41">
                  <c:v>0.2</c:v>
                </c:pt>
                <c:pt idx="42">
                  <c:v>-0.3</c:v>
                </c:pt>
                <c:pt idx="43">
                  <c:v>-0.6</c:v>
                </c:pt>
                <c:pt idx="44">
                  <c:v>0</c:v>
                </c:pt>
                <c:pt idx="45">
                  <c:v>0.6</c:v>
                </c:pt>
                <c:pt idx="46">
                  <c:v>-0.3</c:v>
                </c:pt>
                <c:pt idx="47">
                  <c:v>-0.2</c:v>
                </c:pt>
                <c:pt idx="48">
                  <c:v>0.2</c:v>
                </c:pt>
                <c:pt idx="49">
                  <c:v>0.3</c:v>
                </c:pt>
                <c:pt idx="50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E7-42C2-8882-1A223E6E7728}"/>
            </c:ext>
          </c:extLst>
        </c:ser>
        <c:ser>
          <c:idx val="1"/>
          <c:order val="1"/>
          <c:tx>
            <c:strRef>
              <c:f>Sheet1!$C$3:$C$4</c:f>
              <c:strCache>
                <c:ptCount val="2"/>
                <c:pt idx="0">
                  <c:v>Rateče [°C]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Sheet1!$A$14:$A$64</c:f>
              <c:numCache>
                <c:formatCode>General</c:formatCode>
                <c:ptCount val="51"/>
                <c:pt idx="0">
                  <c:v>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2014</c:v>
                </c:pt>
                <c:pt idx="44">
                  <c:v>2014</c:v>
                </c:pt>
                <c:pt idx="45">
                  <c:v>2015</c:v>
                </c:pt>
                <c:pt idx="46">
                  <c:v>2016</c:v>
                </c:pt>
                <c:pt idx="47">
                  <c:v>2017</c:v>
                </c:pt>
                <c:pt idx="48">
                  <c:v>2018</c:v>
                </c:pt>
                <c:pt idx="49">
                  <c:v>2019</c:v>
                </c:pt>
                <c:pt idx="50">
                  <c:v>2020</c:v>
                </c:pt>
              </c:numCache>
            </c:numRef>
          </c:cat>
          <c:val>
            <c:numRef>
              <c:f>Sheet1!$C$14:$C$64</c:f>
              <c:numCache>
                <c:formatCode>General</c:formatCode>
                <c:ptCount val="51"/>
                <c:pt idx="0">
                  <c:v>5.3</c:v>
                </c:pt>
                <c:pt idx="1">
                  <c:v>5.7</c:v>
                </c:pt>
                <c:pt idx="2">
                  <c:v>5.4</c:v>
                </c:pt>
                <c:pt idx="3">
                  <c:v>5.5</c:v>
                </c:pt>
                <c:pt idx="4">
                  <c:v>6.1</c:v>
                </c:pt>
                <c:pt idx="5">
                  <c:v>6.1</c:v>
                </c:pt>
                <c:pt idx="6">
                  <c:v>5.7</c:v>
                </c:pt>
                <c:pt idx="7">
                  <c:v>6</c:v>
                </c:pt>
                <c:pt idx="8">
                  <c:v>4.5999999999999996</c:v>
                </c:pt>
                <c:pt idx="9">
                  <c:v>5.4</c:v>
                </c:pt>
                <c:pt idx="10">
                  <c:v>4.8</c:v>
                </c:pt>
                <c:pt idx="11">
                  <c:v>5.5</c:v>
                </c:pt>
                <c:pt idx="12">
                  <c:v>6.1</c:v>
                </c:pt>
                <c:pt idx="13">
                  <c:v>6.2</c:v>
                </c:pt>
                <c:pt idx="14">
                  <c:v>5.3</c:v>
                </c:pt>
                <c:pt idx="15">
                  <c:v>5.5</c:v>
                </c:pt>
                <c:pt idx="16">
                  <c:v>5.6</c:v>
                </c:pt>
                <c:pt idx="17">
                  <c:v>5.7</c:v>
                </c:pt>
                <c:pt idx="18">
                  <c:v>6.3</c:v>
                </c:pt>
                <c:pt idx="19">
                  <c:v>6.5</c:v>
                </c:pt>
                <c:pt idx="20">
                  <c:v>6.5</c:v>
                </c:pt>
                <c:pt idx="21">
                  <c:v>5.5</c:v>
                </c:pt>
                <c:pt idx="22">
                  <c:v>7</c:v>
                </c:pt>
                <c:pt idx="23">
                  <c:v>6.4</c:v>
                </c:pt>
                <c:pt idx="24">
                  <c:v>7.6</c:v>
                </c:pt>
                <c:pt idx="25">
                  <c:v>6.4</c:v>
                </c:pt>
                <c:pt idx="26">
                  <c:v>5.8</c:v>
                </c:pt>
                <c:pt idx="27">
                  <c:v>6.7</c:v>
                </c:pt>
                <c:pt idx="28">
                  <c:v>6.8</c:v>
                </c:pt>
                <c:pt idx="29">
                  <c:v>6.7</c:v>
                </c:pt>
                <c:pt idx="30">
                  <c:v>7.6</c:v>
                </c:pt>
                <c:pt idx="31">
                  <c:v>7.1</c:v>
                </c:pt>
                <c:pt idx="32">
                  <c:v>7.7</c:v>
                </c:pt>
                <c:pt idx="33">
                  <c:v>7.1</c:v>
                </c:pt>
                <c:pt idx="34">
                  <c:v>6.4</c:v>
                </c:pt>
                <c:pt idx="35">
                  <c:v>5.9</c:v>
                </c:pt>
                <c:pt idx="36">
                  <c:v>6.9</c:v>
                </c:pt>
                <c:pt idx="37">
                  <c:v>7.6</c:v>
                </c:pt>
                <c:pt idx="38">
                  <c:v>7.2</c:v>
                </c:pt>
                <c:pt idx="39">
                  <c:v>7.1</c:v>
                </c:pt>
                <c:pt idx="40">
                  <c:v>6.6</c:v>
                </c:pt>
                <c:pt idx="41">
                  <c:v>7.6</c:v>
                </c:pt>
                <c:pt idx="42">
                  <c:v>7.3</c:v>
                </c:pt>
                <c:pt idx="43">
                  <c:v>7.2</c:v>
                </c:pt>
                <c:pt idx="44">
                  <c:v>8</c:v>
                </c:pt>
                <c:pt idx="45">
                  <c:v>7.9</c:v>
                </c:pt>
                <c:pt idx="46">
                  <c:v>7.5</c:v>
                </c:pt>
                <c:pt idx="47">
                  <c:v>7.2</c:v>
                </c:pt>
                <c:pt idx="48">
                  <c:v>8</c:v>
                </c:pt>
                <c:pt idx="49">
                  <c:v>8</c:v>
                </c:pt>
                <c:pt idx="50">
                  <c:v>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8E7-42C2-8882-1A223E6E7728}"/>
            </c:ext>
          </c:extLst>
        </c:ser>
        <c:ser>
          <c:idx val="2"/>
          <c:order val="2"/>
          <c:tx>
            <c:strRef>
              <c:f>Sheet1!$D$3:$D$4</c:f>
              <c:strCache>
                <c:ptCount val="2"/>
                <c:pt idx="0">
                  <c:v>Murska Sobota [°C]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Sheet1!$A$14:$A$64</c:f>
              <c:numCache>
                <c:formatCode>General</c:formatCode>
                <c:ptCount val="51"/>
                <c:pt idx="0">
                  <c:v>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2014</c:v>
                </c:pt>
                <c:pt idx="44">
                  <c:v>2014</c:v>
                </c:pt>
                <c:pt idx="45">
                  <c:v>2015</c:v>
                </c:pt>
                <c:pt idx="46">
                  <c:v>2016</c:v>
                </c:pt>
                <c:pt idx="47">
                  <c:v>2017</c:v>
                </c:pt>
                <c:pt idx="48">
                  <c:v>2018</c:v>
                </c:pt>
                <c:pt idx="49">
                  <c:v>2019</c:v>
                </c:pt>
                <c:pt idx="50">
                  <c:v>2020</c:v>
                </c:pt>
              </c:numCache>
            </c:numRef>
          </c:cat>
          <c:val>
            <c:numRef>
              <c:f>Sheet1!$D$14:$D$64</c:f>
            </c:numRef>
          </c:val>
          <c:smooth val="0"/>
          <c:extLst>
            <c:ext xmlns:c16="http://schemas.microsoft.com/office/drawing/2014/chart" uri="{C3380CC4-5D6E-409C-BE32-E72D297353CC}">
              <c16:uniqueId val="{00000005-B8E7-42C2-8882-1A223E6E7728}"/>
            </c:ext>
          </c:extLst>
        </c:ser>
        <c:ser>
          <c:idx val="3"/>
          <c:order val="3"/>
          <c:tx>
            <c:strRef>
              <c:f>Sheet1!$E$3:$E$4</c:f>
              <c:strCache>
                <c:ptCount val="2"/>
                <c:pt idx="0">
                  <c:v>Novo mesto [°C]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4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Sheet1!$A$14:$A$64</c:f>
              <c:numCache>
                <c:formatCode>General</c:formatCode>
                <c:ptCount val="51"/>
                <c:pt idx="0">
                  <c:v>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2014</c:v>
                </c:pt>
                <c:pt idx="44">
                  <c:v>2014</c:v>
                </c:pt>
                <c:pt idx="45">
                  <c:v>2015</c:v>
                </c:pt>
                <c:pt idx="46">
                  <c:v>2016</c:v>
                </c:pt>
                <c:pt idx="47">
                  <c:v>2017</c:v>
                </c:pt>
                <c:pt idx="48">
                  <c:v>2018</c:v>
                </c:pt>
                <c:pt idx="49">
                  <c:v>2019</c:v>
                </c:pt>
                <c:pt idx="50">
                  <c:v>2020</c:v>
                </c:pt>
              </c:numCache>
            </c:numRef>
          </c:cat>
          <c:val>
            <c:numRef>
              <c:f>Sheet1!$E$14:$E$64</c:f>
              <c:numCache>
                <c:formatCode>General</c:formatCode>
                <c:ptCount val="51"/>
                <c:pt idx="0">
                  <c:v>9</c:v>
                </c:pt>
                <c:pt idx="1">
                  <c:v>9</c:v>
                </c:pt>
                <c:pt idx="2">
                  <c:v>9.1999999999999993</c:v>
                </c:pt>
                <c:pt idx="3">
                  <c:v>9.1999999999999993</c:v>
                </c:pt>
                <c:pt idx="4">
                  <c:v>10</c:v>
                </c:pt>
                <c:pt idx="5">
                  <c:v>10</c:v>
                </c:pt>
                <c:pt idx="6">
                  <c:v>9.1</c:v>
                </c:pt>
                <c:pt idx="7">
                  <c:v>10.1</c:v>
                </c:pt>
                <c:pt idx="8">
                  <c:v>8.6</c:v>
                </c:pt>
                <c:pt idx="9">
                  <c:v>9.8000000000000007</c:v>
                </c:pt>
                <c:pt idx="10">
                  <c:v>8.8000000000000007</c:v>
                </c:pt>
                <c:pt idx="11">
                  <c:v>9.8000000000000007</c:v>
                </c:pt>
                <c:pt idx="12">
                  <c:v>10</c:v>
                </c:pt>
                <c:pt idx="13">
                  <c:v>10.1</c:v>
                </c:pt>
                <c:pt idx="14">
                  <c:v>9.4</c:v>
                </c:pt>
                <c:pt idx="15">
                  <c:v>8.9</c:v>
                </c:pt>
                <c:pt idx="16">
                  <c:v>9.1</c:v>
                </c:pt>
                <c:pt idx="17">
                  <c:v>9.5</c:v>
                </c:pt>
                <c:pt idx="18">
                  <c:v>10.199999999999999</c:v>
                </c:pt>
                <c:pt idx="19">
                  <c:v>10.3</c:v>
                </c:pt>
                <c:pt idx="20">
                  <c:v>10.5</c:v>
                </c:pt>
                <c:pt idx="21">
                  <c:v>9.6</c:v>
                </c:pt>
                <c:pt idx="22">
                  <c:v>10.8</c:v>
                </c:pt>
                <c:pt idx="23">
                  <c:v>10.3</c:v>
                </c:pt>
                <c:pt idx="24">
                  <c:v>11.5</c:v>
                </c:pt>
                <c:pt idx="25">
                  <c:v>10.3</c:v>
                </c:pt>
                <c:pt idx="26">
                  <c:v>9.3000000000000007</c:v>
                </c:pt>
                <c:pt idx="27">
                  <c:v>10.1</c:v>
                </c:pt>
                <c:pt idx="28">
                  <c:v>10.6</c:v>
                </c:pt>
                <c:pt idx="29">
                  <c:v>10.6</c:v>
                </c:pt>
                <c:pt idx="30">
                  <c:v>12</c:v>
                </c:pt>
                <c:pt idx="31">
                  <c:v>11.1</c:v>
                </c:pt>
                <c:pt idx="32">
                  <c:v>11.5</c:v>
                </c:pt>
                <c:pt idx="33">
                  <c:v>11.1</c:v>
                </c:pt>
                <c:pt idx="34">
                  <c:v>10.199999999999999</c:v>
                </c:pt>
                <c:pt idx="35">
                  <c:v>10</c:v>
                </c:pt>
                <c:pt idx="36">
                  <c:v>11</c:v>
                </c:pt>
                <c:pt idx="37">
                  <c:v>11.6</c:v>
                </c:pt>
                <c:pt idx="38">
                  <c:v>11.3</c:v>
                </c:pt>
                <c:pt idx="39">
                  <c:v>11.4</c:v>
                </c:pt>
                <c:pt idx="40">
                  <c:v>10.3</c:v>
                </c:pt>
                <c:pt idx="41">
                  <c:v>11.3</c:v>
                </c:pt>
                <c:pt idx="42">
                  <c:v>11.6</c:v>
                </c:pt>
                <c:pt idx="43">
                  <c:v>11.2</c:v>
                </c:pt>
                <c:pt idx="44">
                  <c:v>12.3</c:v>
                </c:pt>
                <c:pt idx="45">
                  <c:v>12</c:v>
                </c:pt>
                <c:pt idx="46">
                  <c:v>11.4</c:v>
                </c:pt>
                <c:pt idx="47">
                  <c:v>11.5</c:v>
                </c:pt>
                <c:pt idx="48">
                  <c:v>11.9</c:v>
                </c:pt>
                <c:pt idx="49">
                  <c:v>12.1</c:v>
                </c:pt>
                <c:pt idx="50">
                  <c:v>11.7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8E7-42C2-8882-1A223E6E7728}"/>
            </c:ext>
          </c:extLst>
        </c:ser>
        <c:ser>
          <c:idx val="4"/>
          <c:order val="4"/>
          <c:tx>
            <c:strRef>
              <c:f>Sheet1!$F$3:$F$4</c:f>
              <c:strCache>
                <c:ptCount val="2"/>
                <c:pt idx="0">
                  <c:v>Ljubljana [°C]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5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Sheet1!$A$14:$A$64</c:f>
              <c:numCache>
                <c:formatCode>General</c:formatCode>
                <c:ptCount val="51"/>
                <c:pt idx="0">
                  <c:v>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2014</c:v>
                </c:pt>
                <c:pt idx="44">
                  <c:v>2014</c:v>
                </c:pt>
                <c:pt idx="45">
                  <c:v>2015</c:v>
                </c:pt>
                <c:pt idx="46">
                  <c:v>2016</c:v>
                </c:pt>
                <c:pt idx="47">
                  <c:v>2017</c:v>
                </c:pt>
                <c:pt idx="48">
                  <c:v>2018</c:v>
                </c:pt>
                <c:pt idx="49">
                  <c:v>2019</c:v>
                </c:pt>
                <c:pt idx="50">
                  <c:v>2020</c:v>
                </c:pt>
              </c:numCache>
            </c:numRef>
          </c:cat>
          <c:val>
            <c:numRef>
              <c:f>Sheet1!$F$14:$F$64</c:f>
            </c:numRef>
          </c:val>
          <c:smooth val="0"/>
          <c:extLst>
            <c:ext xmlns:c16="http://schemas.microsoft.com/office/drawing/2014/chart" uri="{C3380CC4-5D6E-409C-BE32-E72D297353CC}">
              <c16:uniqueId val="{00000009-B8E7-42C2-8882-1A223E6E77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00661647"/>
        <c:axId val="2000663311"/>
      </c:lineChart>
      <c:catAx>
        <c:axId val="200066164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9525" cap="flat" cmpd="sng" algn="ctr">
            <a:gradFill>
              <a:gsLst>
                <a:gs pos="5000">
                  <a:schemeClr val="accent1">
                    <a:lumMod val="5000"/>
                    <a:lumOff val="9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1800000" scaled="0"/>
            </a:gra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2000663311"/>
        <c:crosses val="autoZero"/>
        <c:auto val="0"/>
        <c:lblAlgn val="ctr"/>
        <c:lblOffset val="50"/>
        <c:tickLblSkip val="1"/>
        <c:noMultiLvlLbl val="0"/>
      </c:catAx>
      <c:valAx>
        <c:axId val="2000663311"/>
        <c:scaling>
          <c:orientation val="minMax"/>
          <c:max val="13"/>
          <c:min val="-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2000661647"/>
        <c:crossesAt val="1"/>
        <c:crossBetween val="between"/>
      </c:valAx>
      <c:spPr>
        <a:noFill/>
        <a:ln w="6350">
          <a:gradFill>
            <a:gsLst>
              <a:gs pos="0">
                <a:schemeClr val="accent1">
                  <a:alpha val="97000"/>
                  <a:lumMod val="4000"/>
                  <a:lumOff val="96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KOZAR</dc:creator>
  <cp:keywords/>
  <dc:description/>
  <cp:lastModifiedBy>Marjeta KRISTOFIĆ JAMNIK</cp:lastModifiedBy>
  <cp:revision>2</cp:revision>
  <dcterms:created xsi:type="dcterms:W3CDTF">2021-05-19T14:41:00Z</dcterms:created>
  <dcterms:modified xsi:type="dcterms:W3CDTF">2021-05-19T14:41:00Z</dcterms:modified>
</cp:coreProperties>
</file>